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FA681" w14:textId="77777777" w:rsidR="00D74857" w:rsidRPr="00D23B8F" w:rsidRDefault="00925DD4" w:rsidP="00ED2FAD">
      <w:pPr>
        <w:jc w:val="center"/>
        <w:rPr>
          <w:rFonts w:cstheme="minorHAnsi"/>
          <w:b/>
          <w:sz w:val="32"/>
          <w:szCs w:val="32"/>
        </w:rPr>
      </w:pPr>
      <w:bookmarkStart w:id="0" w:name="_GoBack"/>
      <w:bookmarkEnd w:id="0"/>
      <w:r w:rsidRPr="00D23B8F">
        <w:rPr>
          <w:rFonts w:cstheme="minorHAnsi"/>
          <w:b/>
          <w:sz w:val="32"/>
          <w:szCs w:val="32"/>
        </w:rPr>
        <w:t>Standing up to be counted</w:t>
      </w:r>
      <w:r w:rsidR="00D40EC1" w:rsidRPr="00D23B8F">
        <w:rPr>
          <w:rFonts w:cstheme="minorHAnsi"/>
          <w:b/>
          <w:sz w:val="32"/>
          <w:szCs w:val="32"/>
        </w:rPr>
        <w:t>:</w:t>
      </w:r>
      <w:r w:rsidRPr="00D23B8F">
        <w:rPr>
          <w:rFonts w:cstheme="minorHAnsi"/>
          <w:b/>
          <w:sz w:val="32"/>
          <w:szCs w:val="32"/>
        </w:rPr>
        <w:t xml:space="preserve"> </w:t>
      </w:r>
      <w:r w:rsidR="00D40EC1" w:rsidRPr="00D23B8F">
        <w:rPr>
          <w:rFonts w:cstheme="minorHAnsi"/>
          <w:b/>
          <w:sz w:val="32"/>
          <w:szCs w:val="32"/>
        </w:rPr>
        <w:t>D</w:t>
      </w:r>
      <w:r w:rsidRPr="00D23B8F">
        <w:rPr>
          <w:rFonts w:cstheme="minorHAnsi"/>
          <w:b/>
          <w:sz w:val="32"/>
          <w:szCs w:val="32"/>
        </w:rPr>
        <w:t xml:space="preserve">ata quality </w:t>
      </w:r>
      <w:r w:rsidR="003E4061" w:rsidRPr="00D23B8F">
        <w:rPr>
          <w:rFonts w:cstheme="minorHAnsi"/>
          <w:b/>
          <w:sz w:val="32"/>
          <w:szCs w:val="32"/>
        </w:rPr>
        <w:t>challenges in</w:t>
      </w:r>
      <w:r w:rsidR="00FC5421" w:rsidRPr="00D23B8F">
        <w:rPr>
          <w:rFonts w:cstheme="minorHAnsi"/>
          <w:b/>
          <w:sz w:val="32"/>
          <w:szCs w:val="32"/>
        </w:rPr>
        <w:t xml:space="preserve"> Aboriginal and Torres Strait Islander</w:t>
      </w:r>
      <w:r w:rsidR="00B7088C" w:rsidRPr="00D23B8F">
        <w:rPr>
          <w:rStyle w:val="FootnoteReference"/>
          <w:rFonts w:asciiTheme="minorHAnsi" w:hAnsiTheme="minorHAnsi" w:cstheme="minorHAnsi"/>
          <w:b/>
          <w:szCs w:val="32"/>
        </w:rPr>
        <w:footnoteReference w:id="1"/>
      </w:r>
      <w:r w:rsidRPr="00D23B8F">
        <w:rPr>
          <w:rFonts w:cstheme="minorHAnsi"/>
          <w:b/>
          <w:sz w:val="32"/>
          <w:szCs w:val="32"/>
        </w:rPr>
        <w:t xml:space="preserve"> higher education s</w:t>
      </w:r>
      <w:r w:rsidR="00FC5421" w:rsidRPr="00D23B8F">
        <w:rPr>
          <w:rFonts w:cstheme="minorHAnsi"/>
          <w:b/>
          <w:sz w:val="32"/>
          <w:szCs w:val="32"/>
        </w:rPr>
        <w:t>tatistics</w:t>
      </w:r>
    </w:p>
    <w:p w14:paraId="62DFBB52" w14:textId="77777777" w:rsidR="004F5F86" w:rsidRDefault="004F5F86" w:rsidP="004F5F8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Neil Drew</w:t>
      </w:r>
    </w:p>
    <w:p w14:paraId="3C221D45" w14:textId="77777777" w:rsidR="004F5F86" w:rsidRDefault="004F5F86" w:rsidP="004F5F86">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Nulungu Research Institute, University of Notre Dame and</w:t>
      </w:r>
    </w:p>
    <w:p w14:paraId="03C9A9CD" w14:textId="77777777" w:rsidR="004F5F86" w:rsidRDefault="004F5F86" w:rsidP="004F5F86">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Australian Indigenous HealthInfoNet</w:t>
      </w:r>
    </w:p>
    <w:p w14:paraId="1FEBF4AD" w14:textId="77777777" w:rsidR="004F5F86" w:rsidRDefault="004F5F86" w:rsidP="004F5F86">
      <w:pPr>
        <w:autoSpaceDE w:val="0"/>
        <w:autoSpaceDN w:val="0"/>
        <w:adjustRightInd w:val="0"/>
        <w:spacing w:after="0" w:line="240" w:lineRule="auto"/>
        <w:rPr>
          <w:rFonts w:ascii="Times New Roman" w:hAnsi="Times New Roman" w:cs="Times New Roman"/>
          <w:sz w:val="20"/>
          <w:szCs w:val="20"/>
          <w:lang w:val="en-US"/>
        </w:rPr>
      </w:pPr>
    </w:p>
    <w:p w14:paraId="6A83C6C2" w14:textId="77777777" w:rsidR="004F5F86" w:rsidRDefault="004F5F86" w:rsidP="004F5F8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Judith Wilks</w:t>
      </w:r>
    </w:p>
    <w:p w14:paraId="5C6CDD89" w14:textId="77777777" w:rsidR="004F5F86" w:rsidRDefault="004F5F86" w:rsidP="004F5F86">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Nulungu Research Institute, University of Notre Dame and</w:t>
      </w:r>
    </w:p>
    <w:p w14:paraId="577BC189" w14:textId="77777777" w:rsidR="004F5F86" w:rsidRDefault="004F5F86" w:rsidP="004F5F86">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School of Education, Southern Cross University</w:t>
      </w:r>
    </w:p>
    <w:p w14:paraId="3A1662D2" w14:textId="77777777" w:rsidR="004F5F86" w:rsidRDefault="004F5F86" w:rsidP="004F5F86">
      <w:pPr>
        <w:autoSpaceDE w:val="0"/>
        <w:autoSpaceDN w:val="0"/>
        <w:adjustRightInd w:val="0"/>
        <w:spacing w:after="0" w:line="240" w:lineRule="auto"/>
        <w:rPr>
          <w:rFonts w:ascii="Times New Roman" w:hAnsi="Times New Roman" w:cs="Times New Roman"/>
          <w:sz w:val="20"/>
          <w:szCs w:val="20"/>
          <w:lang w:val="en-US"/>
        </w:rPr>
      </w:pPr>
    </w:p>
    <w:p w14:paraId="41BC8CC5" w14:textId="77777777" w:rsidR="004F5F86" w:rsidRDefault="004F5F86" w:rsidP="004F5F8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Katie Wilson</w:t>
      </w:r>
    </w:p>
    <w:p w14:paraId="79713FE6" w14:textId="77777777" w:rsidR="004F5F86" w:rsidRDefault="004F5F86" w:rsidP="004F5F86">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Nulungu Research Institute, University of Notre Dame and</w:t>
      </w:r>
    </w:p>
    <w:p w14:paraId="08AD4EB2" w14:textId="77777777" w:rsidR="004F5F86" w:rsidRDefault="004F5F86" w:rsidP="004F5F86">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Victoria University of Wellington</w:t>
      </w:r>
    </w:p>
    <w:p w14:paraId="07D9E131" w14:textId="77777777" w:rsidR="004F5F86" w:rsidRDefault="004F5F86" w:rsidP="004F5F86">
      <w:pPr>
        <w:autoSpaceDE w:val="0"/>
        <w:autoSpaceDN w:val="0"/>
        <w:adjustRightInd w:val="0"/>
        <w:spacing w:after="0" w:line="240" w:lineRule="auto"/>
        <w:rPr>
          <w:rFonts w:ascii="Times New Roman" w:hAnsi="Times New Roman" w:cs="Times New Roman"/>
          <w:sz w:val="20"/>
          <w:szCs w:val="20"/>
          <w:lang w:val="en-US"/>
        </w:rPr>
      </w:pPr>
    </w:p>
    <w:p w14:paraId="7BB0CB1E" w14:textId="77777777" w:rsidR="004F5F86" w:rsidRDefault="004F5F86" w:rsidP="004F5F8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Gillian Kennedy</w:t>
      </w:r>
    </w:p>
    <w:p w14:paraId="4F7355F7" w14:textId="486D308A" w:rsidR="00205B16" w:rsidRPr="00D23B8F" w:rsidRDefault="004F5F86" w:rsidP="004F5F86">
      <w:pPr>
        <w:rPr>
          <w:rFonts w:cstheme="minorHAnsi"/>
          <w:b/>
          <w:sz w:val="24"/>
          <w:szCs w:val="24"/>
        </w:rPr>
      </w:pPr>
      <w:r>
        <w:rPr>
          <w:rFonts w:ascii="Times New Roman" w:hAnsi="Times New Roman" w:cs="Times New Roman"/>
          <w:sz w:val="20"/>
          <w:szCs w:val="20"/>
          <w:lang w:val="en-US"/>
        </w:rPr>
        <w:t>Nulungu Research Institute, University of Notre Dame</w:t>
      </w:r>
    </w:p>
    <w:p w14:paraId="16B5B9ED" w14:textId="77777777" w:rsidR="009E399C" w:rsidRPr="00D23B8F" w:rsidRDefault="00E56CEC" w:rsidP="008B1F03">
      <w:pPr>
        <w:spacing w:line="480" w:lineRule="auto"/>
        <w:rPr>
          <w:rFonts w:eastAsiaTheme="majorEastAsia" w:cstheme="minorHAnsi"/>
          <w:bCs/>
          <w:sz w:val="28"/>
          <w:szCs w:val="28"/>
        </w:rPr>
      </w:pPr>
      <w:r w:rsidRPr="00D23B8F">
        <w:rPr>
          <w:rFonts w:eastAsiaTheme="majorEastAsia" w:cstheme="minorHAnsi"/>
          <w:b/>
          <w:bCs/>
          <w:sz w:val="28"/>
          <w:szCs w:val="28"/>
        </w:rPr>
        <w:t>Abstract</w:t>
      </w:r>
    </w:p>
    <w:p w14:paraId="54AA80BA" w14:textId="77777777" w:rsidR="00A909D8" w:rsidRPr="00D23B8F" w:rsidRDefault="00D40EC1" w:rsidP="008B1F03">
      <w:pPr>
        <w:spacing w:line="480" w:lineRule="auto"/>
        <w:rPr>
          <w:rFonts w:eastAsiaTheme="majorEastAsia" w:cstheme="minorHAnsi"/>
          <w:bCs/>
          <w:sz w:val="24"/>
          <w:szCs w:val="24"/>
        </w:rPr>
      </w:pPr>
      <w:r w:rsidRPr="00D23B8F">
        <w:rPr>
          <w:rFonts w:eastAsiaTheme="majorEastAsia" w:cstheme="minorHAnsi"/>
          <w:bCs/>
          <w:sz w:val="24"/>
          <w:szCs w:val="24"/>
        </w:rPr>
        <w:lastRenderedPageBreak/>
        <w:t>D</w:t>
      </w:r>
      <w:r w:rsidR="003F69BA" w:rsidRPr="00D23B8F">
        <w:rPr>
          <w:rFonts w:eastAsiaTheme="majorEastAsia" w:cstheme="minorHAnsi"/>
          <w:bCs/>
          <w:sz w:val="24"/>
          <w:szCs w:val="24"/>
        </w:rPr>
        <w:t>ata quality</w:t>
      </w:r>
      <w:r w:rsidR="00D86DC3" w:rsidRPr="00D23B8F">
        <w:rPr>
          <w:rFonts w:eastAsiaTheme="majorEastAsia" w:cstheme="minorHAnsi"/>
          <w:bCs/>
          <w:sz w:val="24"/>
          <w:szCs w:val="24"/>
        </w:rPr>
        <w:t xml:space="preserve"> and availability</w:t>
      </w:r>
      <w:r w:rsidR="003F69BA" w:rsidRPr="00D23B8F">
        <w:rPr>
          <w:rFonts w:eastAsiaTheme="majorEastAsia" w:cstheme="minorHAnsi"/>
          <w:bCs/>
          <w:sz w:val="24"/>
          <w:szCs w:val="24"/>
        </w:rPr>
        <w:t xml:space="preserve"> in</w:t>
      </w:r>
      <w:r w:rsidR="00C447D1" w:rsidRPr="00D23B8F">
        <w:rPr>
          <w:rFonts w:eastAsiaTheme="majorEastAsia" w:cstheme="minorHAnsi"/>
          <w:bCs/>
          <w:sz w:val="24"/>
          <w:szCs w:val="24"/>
        </w:rPr>
        <w:t xml:space="preserve"> relation to</w:t>
      </w:r>
      <w:r w:rsidR="003F69BA" w:rsidRPr="00D23B8F">
        <w:rPr>
          <w:rFonts w:eastAsiaTheme="majorEastAsia" w:cstheme="minorHAnsi"/>
          <w:bCs/>
          <w:sz w:val="24"/>
          <w:szCs w:val="24"/>
        </w:rPr>
        <w:t xml:space="preserve"> Aboriginal and Torres Strait Islander </w:t>
      </w:r>
      <w:r w:rsidR="00C447D1" w:rsidRPr="00D23B8F">
        <w:rPr>
          <w:rFonts w:eastAsiaTheme="majorEastAsia" w:cstheme="minorHAnsi"/>
          <w:bCs/>
          <w:sz w:val="24"/>
          <w:szCs w:val="24"/>
        </w:rPr>
        <w:t xml:space="preserve">students’ </w:t>
      </w:r>
      <w:r w:rsidR="003F69BA" w:rsidRPr="00D23B8F">
        <w:rPr>
          <w:rFonts w:eastAsiaTheme="majorEastAsia" w:cstheme="minorHAnsi"/>
          <w:bCs/>
          <w:sz w:val="24"/>
          <w:szCs w:val="24"/>
        </w:rPr>
        <w:t xml:space="preserve">higher education </w:t>
      </w:r>
      <w:r w:rsidR="00731C86" w:rsidRPr="00D23B8F">
        <w:rPr>
          <w:rFonts w:eastAsiaTheme="majorEastAsia" w:cstheme="minorHAnsi"/>
          <w:bCs/>
          <w:sz w:val="24"/>
          <w:szCs w:val="24"/>
        </w:rPr>
        <w:t>participation and pathways remains</w:t>
      </w:r>
      <w:r w:rsidR="003F69BA" w:rsidRPr="00D23B8F">
        <w:rPr>
          <w:rFonts w:eastAsiaTheme="majorEastAsia" w:cstheme="minorHAnsi"/>
          <w:bCs/>
          <w:sz w:val="24"/>
          <w:szCs w:val="24"/>
        </w:rPr>
        <w:t xml:space="preserve"> </w:t>
      </w:r>
      <w:r w:rsidR="00D86DC3" w:rsidRPr="00D23B8F">
        <w:rPr>
          <w:rFonts w:eastAsiaTheme="majorEastAsia" w:cstheme="minorHAnsi"/>
          <w:bCs/>
          <w:sz w:val="24"/>
          <w:szCs w:val="24"/>
        </w:rPr>
        <w:t>a persistent challenge</w:t>
      </w:r>
      <w:r w:rsidR="003F69BA" w:rsidRPr="00D23B8F">
        <w:rPr>
          <w:rFonts w:eastAsiaTheme="majorEastAsia" w:cstheme="minorHAnsi"/>
          <w:bCs/>
          <w:sz w:val="24"/>
          <w:szCs w:val="24"/>
        </w:rPr>
        <w:t>.</w:t>
      </w:r>
      <w:r w:rsidRPr="00D23B8F">
        <w:rPr>
          <w:rFonts w:eastAsiaTheme="majorEastAsia" w:cstheme="minorHAnsi"/>
          <w:bCs/>
          <w:sz w:val="24"/>
          <w:szCs w:val="24"/>
        </w:rPr>
        <w:t xml:space="preserve"> </w:t>
      </w:r>
      <w:r w:rsidR="00D86DC3" w:rsidRPr="00D23B8F">
        <w:rPr>
          <w:rFonts w:eastAsiaTheme="majorEastAsia" w:cstheme="minorHAnsi"/>
          <w:bCs/>
          <w:sz w:val="24"/>
          <w:szCs w:val="24"/>
        </w:rPr>
        <w:t xml:space="preserve">In this paper </w:t>
      </w:r>
      <w:r w:rsidR="00607D52" w:rsidRPr="00D23B8F">
        <w:rPr>
          <w:rFonts w:eastAsiaTheme="majorEastAsia" w:cstheme="minorHAnsi"/>
          <w:bCs/>
          <w:sz w:val="24"/>
          <w:szCs w:val="24"/>
        </w:rPr>
        <w:t xml:space="preserve">we </w:t>
      </w:r>
      <w:r w:rsidR="00D86DC3" w:rsidRPr="00D23B8F">
        <w:rPr>
          <w:rFonts w:eastAsiaTheme="majorEastAsia" w:cstheme="minorHAnsi"/>
          <w:bCs/>
          <w:sz w:val="24"/>
          <w:szCs w:val="24"/>
        </w:rPr>
        <w:t>identify that</w:t>
      </w:r>
      <w:r w:rsidR="003F69BA" w:rsidRPr="00D23B8F">
        <w:rPr>
          <w:rFonts w:eastAsiaTheme="majorEastAsia" w:cstheme="minorHAnsi"/>
          <w:bCs/>
          <w:sz w:val="24"/>
          <w:szCs w:val="24"/>
        </w:rPr>
        <w:t xml:space="preserve"> to date</w:t>
      </w:r>
      <w:r w:rsidR="00C447D1" w:rsidRPr="00D23B8F">
        <w:rPr>
          <w:rFonts w:eastAsiaTheme="majorEastAsia" w:cstheme="minorHAnsi"/>
          <w:bCs/>
          <w:sz w:val="24"/>
          <w:szCs w:val="24"/>
        </w:rPr>
        <w:t>,</w:t>
      </w:r>
      <w:r w:rsidR="003F69BA" w:rsidRPr="00D23B8F">
        <w:rPr>
          <w:rFonts w:eastAsiaTheme="majorEastAsia" w:cstheme="minorHAnsi"/>
          <w:bCs/>
          <w:sz w:val="24"/>
          <w:szCs w:val="24"/>
        </w:rPr>
        <w:t xml:space="preserve"> there has been no systematic attempt to conceptualise and </w:t>
      </w:r>
      <w:r w:rsidR="00D86DC3" w:rsidRPr="00D23B8F">
        <w:rPr>
          <w:rFonts w:eastAsiaTheme="majorEastAsia" w:cstheme="minorHAnsi"/>
          <w:bCs/>
          <w:sz w:val="24"/>
          <w:szCs w:val="24"/>
        </w:rPr>
        <w:t>summarise</w:t>
      </w:r>
      <w:r w:rsidR="00731C86" w:rsidRPr="00D23B8F">
        <w:rPr>
          <w:rFonts w:eastAsiaTheme="majorEastAsia" w:cstheme="minorHAnsi"/>
          <w:bCs/>
          <w:sz w:val="24"/>
          <w:szCs w:val="24"/>
        </w:rPr>
        <w:t xml:space="preserve"> many important aspects of data quality</w:t>
      </w:r>
      <w:r w:rsidR="00D86DC3" w:rsidRPr="00D23B8F">
        <w:rPr>
          <w:rFonts w:eastAsiaTheme="majorEastAsia" w:cstheme="minorHAnsi"/>
          <w:bCs/>
          <w:sz w:val="24"/>
          <w:szCs w:val="24"/>
        </w:rPr>
        <w:t>.</w:t>
      </w:r>
      <w:r w:rsidR="003F69BA" w:rsidRPr="00D23B8F">
        <w:rPr>
          <w:rFonts w:eastAsiaTheme="majorEastAsia" w:cstheme="minorHAnsi"/>
          <w:bCs/>
          <w:sz w:val="24"/>
          <w:szCs w:val="24"/>
        </w:rPr>
        <w:t xml:space="preserve">  The research reported in this paper</w:t>
      </w:r>
      <w:r w:rsidR="00C447D1" w:rsidRPr="00D23B8F">
        <w:rPr>
          <w:rFonts w:eastAsiaTheme="majorEastAsia" w:cstheme="minorHAnsi"/>
          <w:bCs/>
          <w:sz w:val="24"/>
          <w:szCs w:val="24"/>
        </w:rPr>
        <w:t>,</w:t>
      </w:r>
      <w:r w:rsidR="00E50A50" w:rsidRPr="00D23B8F">
        <w:rPr>
          <w:rFonts w:eastAsiaTheme="majorEastAsia" w:cstheme="minorHAnsi"/>
          <w:bCs/>
          <w:sz w:val="24"/>
          <w:szCs w:val="24"/>
        </w:rPr>
        <w:t xml:space="preserve"> </w:t>
      </w:r>
      <w:r w:rsidR="005E2D16" w:rsidRPr="00D23B8F">
        <w:rPr>
          <w:rFonts w:eastAsiaTheme="majorEastAsia" w:cstheme="minorHAnsi"/>
          <w:bCs/>
          <w:sz w:val="24"/>
          <w:szCs w:val="24"/>
        </w:rPr>
        <w:t>enabled through funding from</w:t>
      </w:r>
      <w:r w:rsidR="00C447D1" w:rsidRPr="00D23B8F">
        <w:rPr>
          <w:rFonts w:eastAsiaTheme="majorEastAsia" w:cstheme="minorHAnsi"/>
          <w:bCs/>
          <w:sz w:val="24"/>
          <w:szCs w:val="24"/>
        </w:rPr>
        <w:t xml:space="preserve"> an</w:t>
      </w:r>
      <w:r w:rsidR="00D86DC3" w:rsidRPr="00D23B8F">
        <w:rPr>
          <w:rFonts w:eastAsiaTheme="majorEastAsia" w:cstheme="minorHAnsi"/>
          <w:bCs/>
          <w:sz w:val="24"/>
          <w:szCs w:val="24"/>
        </w:rPr>
        <w:t xml:space="preserve"> Office</w:t>
      </w:r>
      <w:r w:rsidR="00C447D1" w:rsidRPr="00D23B8F">
        <w:rPr>
          <w:rFonts w:eastAsiaTheme="majorEastAsia" w:cstheme="minorHAnsi"/>
          <w:bCs/>
          <w:sz w:val="24"/>
          <w:szCs w:val="24"/>
        </w:rPr>
        <w:t xml:space="preserve"> for Learning </w:t>
      </w:r>
      <w:r w:rsidR="00E50A50" w:rsidRPr="00D23B8F">
        <w:rPr>
          <w:rFonts w:eastAsiaTheme="majorEastAsia" w:cstheme="minorHAnsi"/>
          <w:bCs/>
          <w:sz w:val="24"/>
          <w:szCs w:val="24"/>
        </w:rPr>
        <w:t xml:space="preserve">and </w:t>
      </w:r>
      <w:r w:rsidR="00E50A50" w:rsidRPr="00D23B8F">
        <w:rPr>
          <w:rFonts w:eastAsiaTheme="majorEastAsia" w:cstheme="minorHAnsi"/>
          <w:bCs/>
          <w:sz w:val="24"/>
          <w:szCs w:val="24"/>
        </w:rPr>
        <w:lastRenderedPageBreak/>
        <w:t xml:space="preserve">Teaching </w:t>
      </w:r>
      <w:r w:rsidR="00C447D1" w:rsidRPr="00D23B8F">
        <w:rPr>
          <w:rFonts w:eastAsiaTheme="majorEastAsia" w:cstheme="minorHAnsi"/>
          <w:bCs/>
          <w:sz w:val="24"/>
          <w:szCs w:val="24"/>
        </w:rPr>
        <w:t>Seed grant,</w:t>
      </w:r>
      <w:r w:rsidR="00D86DC3" w:rsidRPr="00D23B8F">
        <w:rPr>
          <w:rFonts w:eastAsiaTheme="majorEastAsia" w:cstheme="minorHAnsi"/>
          <w:bCs/>
          <w:sz w:val="24"/>
          <w:szCs w:val="24"/>
        </w:rPr>
        <w:t xml:space="preserve"> </w:t>
      </w:r>
      <w:r w:rsidR="00731C86" w:rsidRPr="00D23B8F">
        <w:rPr>
          <w:rFonts w:eastAsiaTheme="majorEastAsia" w:cstheme="minorHAnsi"/>
          <w:bCs/>
          <w:sz w:val="24"/>
          <w:szCs w:val="24"/>
        </w:rPr>
        <w:t xml:space="preserve">redresses this and </w:t>
      </w:r>
      <w:r w:rsidR="003F69BA" w:rsidRPr="00D23B8F">
        <w:rPr>
          <w:rFonts w:eastAsiaTheme="majorEastAsia" w:cstheme="minorHAnsi"/>
          <w:bCs/>
          <w:sz w:val="24"/>
          <w:szCs w:val="24"/>
        </w:rPr>
        <w:t>proposes a conceptual framework for identifying and understanding the impact</w:t>
      </w:r>
      <w:r w:rsidR="00731C86" w:rsidRPr="00D23B8F">
        <w:rPr>
          <w:rFonts w:eastAsiaTheme="majorEastAsia" w:cstheme="minorHAnsi"/>
          <w:bCs/>
          <w:sz w:val="24"/>
          <w:szCs w:val="24"/>
        </w:rPr>
        <w:t>s</w:t>
      </w:r>
      <w:r w:rsidR="003F69BA" w:rsidRPr="00D23B8F">
        <w:rPr>
          <w:rFonts w:eastAsiaTheme="majorEastAsia" w:cstheme="minorHAnsi"/>
          <w:bCs/>
          <w:sz w:val="24"/>
          <w:szCs w:val="24"/>
        </w:rPr>
        <w:t xml:space="preserve"> of</w:t>
      </w:r>
      <w:r w:rsidR="00731C86" w:rsidRPr="00D23B8F">
        <w:rPr>
          <w:rFonts w:eastAsiaTheme="majorEastAsia" w:cstheme="minorHAnsi"/>
          <w:bCs/>
          <w:sz w:val="24"/>
          <w:szCs w:val="24"/>
        </w:rPr>
        <w:t xml:space="preserve"> matters of</w:t>
      </w:r>
      <w:r w:rsidR="00E50A50" w:rsidRPr="00D23B8F">
        <w:rPr>
          <w:rFonts w:eastAsiaTheme="majorEastAsia" w:cstheme="minorHAnsi"/>
          <w:bCs/>
          <w:sz w:val="24"/>
          <w:szCs w:val="24"/>
        </w:rPr>
        <w:t xml:space="preserve"> </w:t>
      </w:r>
      <w:r w:rsidR="003F69BA" w:rsidRPr="00D23B8F">
        <w:rPr>
          <w:rFonts w:eastAsiaTheme="majorEastAsia" w:cstheme="minorHAnsi"/>
          <w:bCs/>
          <w:sz w:val="24"/>
          <w:szCs w:val="24"/>
        </w:rPr>
        <w:t xml:space="preserve">data quality.  </w:t>
      </w:r>
      <w:r w:rsidR="00C447D1" w:rsidRPr="00D23B8F">
        <w:rPr>
          <w:rFonts w:eastAsiaTheme="majorEastAsia" w:cstheme="minorHAnsi"/>
          <w:bCs/>
          <w:sz w:val="24"/>
          <w:szCs w:val="24"/>
        </w:rPr>
        <w:t xml:space="preserve"> </w:t>
      </w:r>
      <w:r w:rsidR="00607D52" w:rsidRPr="00D23B8F">
        <w:rPr>
          <w:rFonts w:eastAsiaTheme="majorEastAsia" w:cstheme="minorHAnsi"/>
          <w:bCs/>
          <w:sz w:val="24"/>
          <w:szCs w:val="24"/>
        </w:rPr>
        <w:t xml:space="preserve">We </w:t>
      </w:r>
      <w:r w:rsidR="00C447D1" w:rsidRPr="00D23B8F">
        <w:rPr>
          <w:rFonts w:eastAsiaTheme="majorEastAsia" w:cstheme="minorHAnsi"/>
          <w:bCs/>
          <w:sz w:val="24"/>
          <w:szCs w:val="24"/>
        </w:rPr>
        <w:t>argue that the</w:t>
      </w:r>
      <w:r w:rsidR="003F69BA" w:rsidRPr="00D23B8F">
        <w:rPr>
          <w:rFonts w:eastAsiaTheme="majorEastAsia" w:cstheme="minorHAnsi"/>
          <w:bCs/>
          <w:sz w:val="24"/>
          <w:szCs w:val="24"/>
        </w:rPr>
        <w:t xml:space="preserve"> pursuit of a shared statistical literacy is best viewed through the dual lens of whiteness and Aboriginal terms of reference.   Borrowing </w:t>
      </w:r>
      <w:r w:rsidR="00C45F94" w:rsidRPr="00D23B8F">
        <w:rPr>
          <w:rFonts w:eastAsiaTheme="majorEastAsia" w:cstheme="minorHAnsi"/>
          <w:bCs/>
          <w:sz w:val="24"/>
          <w:szCs w:val="24"/>
        </w:rPr>
        <w:t>from</w:t>
      </w:r>
      <w:r w:rsidR="003F69BA" w:rsidRPr="00D23B8F">
        <w:rPr>
          <w:rFonts w:eastAsiaTheme="majorEastAsia" w:cstheme="minorHAnsi"/>
          <w:bCs/>
          <w:sz w:val="24"/>
          <w:szCs w:val="24"/>
        </w:rPr>
        <w:t xml:space="preserve"> the health sector</w:t>
      </w:r>
      <w:r w:rsidR="00C45F94" w:rsidRPr="00D23B8F">
        <w:rPr>
          <w:rFonts w:eastAsiaTheme="majorEastAsia" w:cstheme="minorHAnsi"/>
          <w:bCs/>
          <w:sz w:val="24"/>
          <w:szCs w:val="24"/>
        </w:rPr>
        <w:t>,</w:t>
      </w:r>
      <w:r w:rsidR="003F69BA" w:rsidRPr="00D23B8F">
        <w:rPr>
          <w:rFonts w:eastAsiaTheme="majorEastAsia" w:cstheme="minorHAnsi"/>
          <w:bCs/>
          <w:sz w:val="24"/>
          <w:szCs w:val="24"/>
        </w:rPr>
        <w:t xml:space="preserve"> data quality issues are conceptualised as upstream, midstream and downstream.  </w:t>
      </w:r>
      <w:r w:rsidR="003F69BA" w:rsidRPr="00D23B8F">
        <w:rPr>
          <w:rFonts w:eastAsiaTheme="majorEastAsia" w:cstheme="minorHAnsi"/>
          <w:bCs/>
          <w:sz w:val="24"/>
          <w:szCs w:val="24"/>
        </w:rPr>
        <w:lastRenderedPageBreak/>
        <w:t xml:space="preserve">This framework identifies the locus of responsibility and intervention as a </w:t>
      </w:r>
      <w:r w:rsidR="00B7088C" w:rsidRPr="00D23B8F">
        <w:rPr>
          <w:rFonts w:eastAsiaTheme="majorEastAsia" w:cstheme="minorHAnsi"/>
          <w:bCs/>
          <w:sz w:val="24"/>
          <w:szCs w:val="24"/>
        </w:rPr>
        <w:t>catalyst</w:t>
      </w:r>
      <w:r w:rsidR="003F69BA" w:rsidRPr="00D23B8F">
        <w:rPr>
          <w:rFonts w:eastAsiaTheme="majorEastAsia" w:cstheme="minorHAnsi"/>
          <w:bCs/>
          <w:sz w:val="24"/>
          <w:szCs w:val="24"/>
        </w:rPr>
        <w:t xml:space="preserve"> for purposeful action to address data quality </w:t>
      </w:r>
      <w:r w:rsidR="00C447D1" w:rsidRPr="00D23B8F">
        <w:rPr>
          <w:rFonts w:eastAsiaTheme="majorEastAsia" w:cstheme="minorHAnsi"/>
          <w:bCs/>
          <w:sz w:val="24"/>
          <w:szCs w:val="24"/>
        </w:rPr>
        <w:t>challenges</w:t>
      </w:r>
      <w:r w:rsidR="00B7088C" w:rsidRPr="00D23B8F">
        <w:rPr>
          <w:rFonts w:eastAsiaTheme="majorEastAsia" w:cstheme="minorHAnsi"/>
          <w:bCs/>
          <w:sz w:val="24"/>
          <w:szCs w:val="24"/>
        </w:rPr>
        <w:t xml:space="preserve"> at the national, sectoral and institutional levels</w:t>
      </w:r>
      <w:r w:rsidR="003F69BA" w:rsidRPr="00D23B8F">
        <w:rPr>
          <w:rFonts w:eastAsiaTheme="majorEastAsia" w:cstheme="minorHAnsi"/>
          <w:bCs/>
          <w:sz w:val="24"/>
          <w:szCs w:val="24"/>
        </w:rPr>
        <w:t xml:space="preserve">. The benefits of applying the </w:t>
      </w:r>
      <w:r w:rsidR="00C447D1" w:rsidRPr="00D23B8F">
        <w:rPr>
          <w:rFonts w:eastAsiaTheme="majorEastAsia" w:cstheme="minorHAnsi"/>
          <w:bCs/>
          <w:sz w:val="24"/>
          <w:szCs w:val="24"/>
        </w:rPr>
        <w:t xml:space="preserve">proposed </w:t>
      </w:r>
      <w:r w:rsidR="003F69BA" w:rsidRPr="00D23B8F">
        <w:rPr>
          <w:rFonts w:eastAsiaTheme="majorEastAsia" w:cstheme="minorHAnsi"/>
          <w:bCs/>
          <w:sz w:val="24"/>
          <w:szCs w:val="24"/>
        </w:rPr>
        <w:t xml:space="preserve">framework </w:t>
      </w:r>
      <w:r w:rsidR="00C447D1" w:rsidRPr="00D23B8F">
        <w:rPr>
          <w:rFonts w:eastAsiaTheme="majorEastAsia" w:cstheme="minorHAnsi"/>
          <w:bCs/>
          <w:sz w:val="24"/>
          <w:szCs w:val="24"/>
        </w:rPr>
        <w:t>include:</w:t>
      </w:r>
      <w:r w:rsidR="003F69BA" w:rsidRPr="00D23B8F">
        <w:rPr>
          <w:rFonts w:eastAsiaTheme="majorEastAsia" w:cstheme="minorHAnsi"/>
          <w:bCs/>
          <w:sz w:val="24"/>
          <w:szCs w:val="24"/>
        </w:rPr>
        <w:t xml:space="preserve"> </w:t>
      </w:r>
      <w:r w:rsidR="007B78D4" w:rsidRPr="00D23B8F">
        <w:rPr>
          <w:rFonts w:eastAsiaTheme="majorEastAsia" w:cstheme="minorHAnsi"/>
          <w:bCs/>
          <w:sz w:val="24"/>
          <w:szCs w:val="24"/>
        </w:rPr>
        <w:t>a conceptual lens through which cultural issues may be unmasked</w:t>
      </w:r>
      <w:r w:rsidR="00C447D1" w:rsidRPr="00D23B8F">
        <w:rPr>
          <w:rFonts w:eastAsiaTheme="majorEastAsia" w:cstheme="minorHAnsi"/>
          <w:bCs/>
          <w:sz w:val="24"/>
          <w:szCs w:val="24"/>
        </w:rPr>
        <w:t>;</w:t>
      </w:r>
      <w:r w:rsidR="007B78D4" w:rsidRPr="00D23B8F">
        <w:rPr>
          <w:rFonts w:eastAsiaTheme="majorEastAsia" w:cstheme="minorHAnsi"/>
          <w:bCs/>
          <w:sz w:val="24"/>
          <w:szCs w:val="24"/>
        </w:rPr>
        <w:t xml:space="preserve"> </w:t>
      </w:r>
      <w:r w:rsidR="00C45F94" w:rsidRPr="00D23B8F">
        <w:rPr>
          <w:rFonts w:eastAsiaTheme="majorEastAsia" w:cstheme="minorHAnsi"/>
          <w:bCs/>
          <w:sz w:val="24"/>
          <w:szCs w:val="24"/>
        </w:rPr>
        <w:t>enhanced</w:t>
      </w:r>
      <w:r w:rsidR="003F69BA" w:rsidRPr="00D23B8F">
        <w:rPr>
          <w:rFonts w:eastAsiaTheme="majorEastAsia" w:cstheme="minorHAnsi"/>
          <w:bCs/>
          <w:sz w:val="24"/>
          <w:szCs w:val="24"/>
        </w:rPr>
        <w:t xml:space="preserve"> sector wide </w:t>
      </w:r>
      <w:r w:rsidR="007B78D4" w:rsidRPr="00D23B8F">
        <w:rPr>
          <w:rFonts w:eastAsiaTheme="majorEastAsia" w:cstheme="minorHAnsi"/>
          <w:bCs/>
          <w:sz w:val="24"/>
          <w:szCs w:val="24"/>
        </w:rPr>
        <w:t xml:space="preserve">critical </w:t>
      </w:r>
      <w:r w:rsidR="003F69BA" w:rsidRPr="00D23B8F">
        <w:rPr>
          <w:rFonts w:eastAsiaTheme="majorEastAsia" w:cstheme="minorHAnsi"/>
          <w:bCs/>
          <w:sz w:val="24"/>
          <w:szCs w:val="24"/>
        </w:rPr>
        <w:t>statistical</w:t>
      </w:r>
      <w:r w:rsidR="00D760D2" w:rsidRPr="00D23B8F">
        <w:rPr>
          <w:rFonts w:eastAsiaTheme="majorEastAsia" w:cstheme="minorHAnsi"/>
          <w:bCs/>
          <w:sz w:val="24"/>
          <w:szCs w:val="24"/>
        </w:rPr>
        <w:t xml:space="preserve"> liter</w:t>
      </w:r>
      <w:r w:rsidR="00D760D2" w:rsidRPr="00D23B8F">
        <w:rPr>
          <w:rFonts w:eastAsiaTheme="majorEastAsia" w:cstheme="minorHAnsi"/>
          <w:bCs/>
          <w:sz w:val="24"/>
          <w:szCs w:val="24"/>
        </w:rPr>
        <w:lastRenderedPageBreak/>
        <w:t>acy</w:t>
      </w:r>
      <w:r w:rsidR="00C447D1" w:rsidRPr="00D23B8F">
        <w:rPr>
          <w:rFonts w:eastAsiaTheme="majorEastAsia" w:cstheme="minorHAnsi"/>
          <w:bCs/>
          <w:sz w:val="24"/>
          <w:szCs w:val="24"/>
        </w:rPr>
        <w:t>;</w:t>
      </w:r>
      <w:r w:rsidR="00D760D2" w:rsidRPr="00D23B8F">
        <w:rPr>
          <w:rFonts w:eastAsiaTheme="majorEastAsia" w:cstheme="minorHAnsi"/>
          <w:bCs/>
          <w:sz w:val="24"/>
          <w:szCs w:val="24"/>
        </w:rPr>
        <w:t xml:space="preserve"> and</w:t>
      </w:r>
      <w:r w:rsidR="007B78D4" w:rsidRPr="00D23B8F">
        <w:rPr>
          <w:rFonts w:eastAsiaTheme="majorEastAsia" w:cstheme="minorHAnsi"/>
          <w:bCs/>
          <w:sz w:val="24"/>
          <w:szCs w:val="24"/>
        </w:rPr>
        <w:t xml:space="preserve"> </w:t>
      </w:r>
      <w:r w:rsidR="00C45F94" w:rsidRPr="00D23B8F">
        <w:rPr>
          <w:rFonts w:eastAsiaTheme="majorEastAsia" w:cstheme="minorHAnsi"/>
          <w:bCs/>
          <w:sz w:val="24"/>
          <w:szCs w:val="24"/>
        </w:rPr>
        <w:t xml:space="preserve">a systematic accountability framework for assessing efforts to </w:t>
      </w:r>
      <w:r w:rsidR="00F508FC" w:rsidRPr="00D23B8F">
        <w:rPr>
          <w:rFonts w:eastAsiaTheme="majorEastAsia" w:cstheme="minorHAnsi"/>
          <w:bCs/>
          <w:sz w:val="24"/>
          <w:szCs w:val="24"/>
        </w:rPr>
        <w:t>improve</w:t>
      </w:r>
      <w:r w:rsidR="00C45F94" w:rsidRPr="00D23B8F">
        <w:rPr>
          <w:rFonts w:eastAsiaTheme="majorEastAsia" w:cstheme="minorHAnsi"/>
          <w:bCs/>
          <w:sz w:val="24"/>
          <w:szCs w:val="24"/>
        </w:rPr>
        <w:t xml:space="preserve"> data quality</w:t>
      </w:r>
      <w:r w:rsidR="007B78D4" w:rsidRPr="00D23B8F">
        <w:rPr>
          <w:rFonts w:eastAsiaTheme="majorEastAsia" w:cstheme="minorHAnsi"/>
          <w:bCs/>
          <w:sz w:val="24"/>
          <w:szCs w:val="24"/>
        </w:rPr>
        <w:t>.</w:t>
      </w:r>
      <w:r w:rsidR="00D760D2" w:rsidRPr="00D23B8F">
        <w:rPr>
          <w:rFonts w:eastAsiaTheme="majorEastAsia" w:cstheme="minorHAnsi"/>
          <w:bCs/>
          <w:sz w:val="24"/>
          <w:szCs w:val="24"/>
        </w:rPr>
        <w:t xml:space="preserve">  </w:t>
      </w:r>
      <w:r w:rsidR="00C46EC9" w:rsidRPr="00D23B8F">
        <w:rPr>
          <w:rFonts w:eastAsiaTheme="majorEastAsia" w:cstheme="minorHAnsi"/>
          <w:bCs/>
          <w:sz w:val="24"/>
          <w:szCs w:val="24"/>
        </w:rPr>
        <w:t>Finally</w:t>
      </w:r>
      <w:r w:rsidR="002E311C">
        <w:rPr>
          <w:rFonts w:eastAsiaTheme="majorEastAsia" w:cstheme="minorHAnsi"/>
          <w:bCs/>
          <w:sz w:val="24"/>
          <w:szCs w:val="24"/>
        </w:rPr>
        <w:t>,</w:t>
      </w:r>
      <w:r w:rsidR="00F508FC" w:rsidRPr="00D23B8F">
        <w:rPr>
          <w:rFonts w:eastAsiaTheme="majorEastAsia" w:cstheme="minorHAnsi"/>
          <w:bCs/>
          <w:sz w:val="24"/>
          <w:szCs w:val="24"/>
        </w:rPr>
        <w:t xml:space="preserve"> it is</w:t>
      </w:r>
      <w:r w:rsidR="00D760D2" w:rsidRPr="00D23B8F">
        <w:rPr>
          <w:rFonts w:eastAsiaTheme="majorEastAsia" w:cstheme="minorHAnsi"/>
          <w:bCs/>
          <w:sz w:val="24"/>
          <w:szCs w:val="24"/>
        </w:rPr>
        <w:t xml:space="preserve"> proposed</w:t>
      </w:r>
      <w:r w:rsidR="00F508FC" w:rsidRPr="00D23B8F">
        <w:rPr>
          <w:rFonts w:eastAsiaTheme="majorEastAsia" w:cstheme="minorHAnsi"/>
          <w:bCs/>
          <w:sz w:val="24"/>
          <w:szCs w:val="24"/>
        </w:rPr>
        <w:t xml:space="preserve"> that </w:t>
      </w:r>
      <w:r w:rsidR="00607D52" w:rsidRPr="00D23B8F">
        <w:rPr>
          <w:rFonts w:eastAsiaTheme="majorEastAsia" w:cstheme="minorHAnsi"/>
          <w:bCs/>
          <w:sz w:val="24"/>
          <w:szCs w:val="24"/>
        </w:rPr>
        <w:t xml:space="preserve">key elements from </w:t>
      </w:r>
      <w:r w:rsidR="00A909D8" w:rsidRPr="00D23B8F">
        <w:rPr>
          <w:rFonts w:eastAsiaTheme="majorEastAsia" w:cstheme="minorHAnsi"/>
          <w:bCs/>
          <w:sz w:val="24"/>
          <w:szCs w:val="24"/>
        </w:rPr>
        <w:t>this framework might be usefully</w:t>
      </w:r>
      <w:r w:rsidR="00F508FC" w:rsidRPr="00D23B8F">
        <w:rPr>
          <w:rFonts w:eastAsiaTheme="majorEastAsia" w:cstheme="minorHAnsi"/>
          <w:bCs/>
          <w:sz w:val="24"/>
          <w:szCs w:val="24"/>
        </w:rPr>
        <w:t xml:space="preserve"> applied to the development of sector-wide guidelines</w:t>
      </w:r>
      <w:r w:rsidR="00607D52" w:rsidRPr="00D23B8F">
        <w:rPr>
          <w:rFonts w:eastAsiaTheme="majorEastAsia" w:cstheme="minorHAnsi"/>
          <w:bCs/>
          <w:sz w:val="24"/>
          <w:szCs w:val="24"/>
        </w:rPr>
        <w:t xml:space="preserve"> </w:t>
      </w:r>
      <w:r w:rsidR="00D760D2" w:rsidRPr="00D23B8F">
        <w:rPr>
          <w:rFonts w:eastAsiaTheme="majorEastAsia" w:cstheme="minorHAnsi"/>
          <w:bCs/>
          <w:sz w:val="24"/>
          <w:szCs w:val="24"/>
        </w:rPr>
        <w:t xml:space="preserve">for </w:t>
      </w:r>
      <w:r w:rsidR="00F508FC" w:rsidRPr="00D23B8F">
        <w:rPr>
          <w:rFonts w:eastAsiaTheme="majorEastAsia" w:cstheme="minorHAnsi"/>
          <w:bCs/>
          <w:sz w:val="24"/>
          <w:szCs w:val="24"/>
        </w:rPr>
        <w:t xml:space="preserve">the collection, interpretation, use, and storage of quality data and statistics to enhance the </w:t>
      </w:r>
      <w:r w:rsidR="00C46EC9" w:rsidRPr="00D23B8F">
        <w:rPr>
          <w:rFonts w:eastAsiaTheme="majorEastAsia" w:cstheme="minorHAnsi"/>
          <w:bCs/>
          <w:sz w:val="24"/>
          <w:szCs w:val="24"/>
        </w:rPr>
        <w:t xml:space="preserve">transition, </w:t>
      </w:r>
      <w:r w:rsidR="00F508FC" w:rsidRPr="00D23B8F">
        <w:rPr>
          <w:rFonts w:eastAsiaTheme="majorEastAsia" w:cstheme="minorHAnsi"/>
          <w:bCs/>
          <w:sz w:val="24"/>
          <w:szCs w:val="24"/>
        </w:rPr>
        <w:t xml:space="preserve">participation </w:t>
      </w:r>
      <w:r w:rsidR="00F508FC" w:rsidRPr="00D23B8F">
        <w:rPr>
          <w:rFonts w:eastAsiaTheme="majorEastAsia" w:cstheme="minorHAnsi"/>
          <w:bCs/>
          <w:sz w:val="24"/>
          <w:szCs w:val="24"/>
        </w:rPr>
        <w:lastRenderedPageBreak/>
        <w:t xml:space="preserve">and </w:t>
      </w:r>
      <w:r w:rsidR="00C46EC9" w:rsidRPr="00D23B8F">
        <w:rPr>
          <w:rFonts w:eastAsiaTheme="majorEastAsia" w:cstheme="minorHAnsi"/>
          <w:bCs/>
          <w:sz w:val="24"/>
          <w:szCs w:val="24"/>
        </w:rPr>
        <w:t xml:space="preserve">retention </w:t>
      </w:r>
      <w:r w:rsidR="00F508FC" w:rsidRPr="00D23B8F">
        <w:rPr>
          <w:rFonts w:eastAsiaTheme="majorEastAsia" w:cstheme="minorHAnsi"/>
          <w:bCs/>
          <w:sz w:val="24"/>
          <w:szCs w:val="24"/>
        </w:rPr>
        <w:t xml:space="preserve">experiences of </w:t>
      </w:r>
      <w:r w:rsidR="00D760D2" w:rsidRPr="00D23B8F">
        <w:rPr>
          <w:rFonts w:eastAsiaTheme="majorEastAsia" w:cstheme="minorHAnsi"/>
          <w:bCs/>
          <w:sz w:val="24"/>
          <w:szCs w:val="24"/>
        </w:rPr>
        <w:t xml:space="preserve">Aboriginal and Torres Strait Islander higher education </w:t>
      </w:r>
      <w:r w:rsidR="00F508FC" w:rsidRPr="00D23B8F">
        <w:rPr>
          <w:rFonts w:eastAsiaTheme="majorEastAsia" w:cstheme="minorHAnsi"/>
          <w:bCs/>
          <w:sz w:val="24"/>
          <w:szCs w:val="24"/>
        </w:rPr>
        <w:t>students.</w:t>
      </w:r>
      <w:r w:rsidR="00C46EC9" w:rsidRPr="00D23B8F">
        <w:rPr>
          <w:rFonts w:eastAsiaTheme="majorEastAsia" w:cstheme="minorHAnsi"/>
          <w:bCs/>
          <w:sz w:val="24"/>
          <w:szCs w:val="24"/>
        </w:rPr>
        <w:t xml:space="preserve"> </w:t>
      </w:r>
    </w:p>
    <w:p w14:paraId="2C195249" w14:textId="77777777" w:rsidR="0099599E" w:rsidRPr="00D23B8F" w:rsidRDefault="006474FD" w:rsidP="008B1F03">
      <w:pPr>
        <w:spacing w:line="480" w:lineRule="auto"/>
        <w:rPr>
          <w:rFonts w:cstheme="minorHAnsi"/>
          <w:b/>
          <w:sz w:val="24"/>
        </w:rPr>
      </w:pPr>
      <w:r w:rsidRPr="00D23B8F">
        <w:rPr>
          <w:rFonts w:cstheme="minorHAnsi"/>
          <w:b/>
          <w:sz w:val="24"/>
        </w:rPr>
        <w:t>I</w:t>
      </w:r>
      <w:r w:rsidR="0069670F" w:rsidRPr="00D23B8F">
        <w:rPr>
          <w:rFonts w:cstheme="minorHAnsi"/>
          <w:b/>
          <w:sz w:val="24"/>
        </w:rPr>
        <w:t>ntroduction</w:t>
      </w:r>
    </w:p>
    <w:p w14:paraId="627697E1" w14:textId="37E1AE77" w:rsidR="000D3C5C" w:rsidRPr="00D23B8F" w:rsidRDefault="000D3C5C" w:rsidP="008B1F03">
      <w:pPr>
        <w:spacing w:line="480" w:lineRule="auto"/>
        <w:rPr>
          <w:rFonts w:cstheme="minorHAnsi"/>
          <w:sz w:val="24"/>
          <w:szCs w:val="24"/>
        </w:rPr>
      </w:pPr>
      <w:r w:rsidRPr="00D23B8F">
        <w:rPr>
          <w:rFonts w:cstheme="minorHAnsi"/>
          <w:sz w:val="24"/>
          <w:szCs w:val="24"/>
        </w:rPr>
        <w:t>The access, participation, retention, completion and transition rates for Indigenous higher education students are significantly lower than those of non-Indigenous students (</w:t>
      </w:r>
      <w:r w:rsidR="00D9049A" w:rsidRPr="00D23B8F">
        <w:rPr>
          <w:rFonts w:cstheme="minorHAnsi"/>
          <w:sz w:val="24"/>
          <w:szCs w:val="24"/>
        </w:rPr>
        <w:t xml:space="preserve">Wilks </w:t>
      </w:r>
      <w:r w:rsidR="003D645C">
        <w:rPr>
          <w:rFonts w:cstheme="minorHAnsi"/>
          <w:sz w:val="24"/>
          <w:szCs w:val="24"/>
        </w:rPr>
        <w:t>and</w:t>
      </w:r>
      <w:r w:rsidR="003D645C" w:rsidRPr="00D23B8F">
        <w:rPr>
          <w:rFonts w:cstheme="minorHAnsi"/>
          <w:sz w:val="24"/>
          <w:szCs w:val="24"/>
        </w:rPr>
        <w:t xml:space="preserve"> </w:t>
      </w:r>
      <w:r w:rsidR="00D9049A" w:rsidRPr="00D23B8F">
        <w:rPr>
          <w:rFonts w:cstheme="minorHAnsi"/>
          <w:sz w:val="24"/>
          <w:szCs w:val="24"/>
        </w:rPr>
        <w:t>Wilson 2015;</w:t>
      </w:r>
      <w:r w:rsidR="00A907E3" w:rsidRPr="00D23B8F">
        <w:rPr>
          <w:rFonts w:cstheme="minorHAnsi"/>
          <w:sz w:val="24"/>
          <w:szCs w:val="24"/>
        </w:rPr>
        <w:t xml:space="preserve"> </w:t>
      </w:r>
      <w:r w:rsidR="001C09C9" w:rsidRPr="00D23B8F">
        <w:rPr>
          <w:rFonts w:cstheme="minorHAnsi"/>
          <w:sz w:val="24"/>
          <w:szCs w:val="24"/>
        </w:rPr>
        <w:t>Kinnane, Wilks, Wilson, Hughes</w:t>
      </w:r>
      <w:r w:rsidR="004B5584" w:rsidRPr="00D23B8F">
        <w:rPr>
          <w:rFonts w:cstheme="minorHAnsi"/>
          <w:sz w:val="24"/>
          <w:szCs w:val="24"/>
        </w:rPr>
        <w:t>,</w:t>
      </w:r>
      <w:r w:rsidR="001C09C9" w:rsidRPr="00D23B8F">
        <w:rPr>
          <w:rFonts w:cstheme="minorHAnsi"/>
          <w:sz w:val="24"/>
          <w:szCs w:val="24"/>
        </w:rPr>
        <w:t xml:space="preserve"> </w:t>
      </w:r>
      <w:r w:rsidR="001C09C9" w:rsidRPr="00D23B8F">
        <w:rPr>
          <w:rFonts w:cstheme="minorHAnsi"/>
          <w:sz w:val="24"/>
          <w:szCs w:val="24"/>
        </w:rPr>
        <w:lastRenderedPageBreak/>
        <w:t xml:space="preserve">and Thomas 2014; </w:t>
      </w:r>
      <w:r w:rsidRPr="00D23B8F">
        <w:rPr>
          <w:rFonts w:cstheme="minorHAnsi"/>
          <w:sz w:val="24"/>
        </w:rPr>
        <w:t>Behrendt, Larkin, Griew</w:t>
      </w:r>
      <w:r w:rsidR="00FA585E">
        <w:rPr>
          <w:rFonts w:cstheme="minorHAnsi"/>
          <w:sz w:val="24"/>
        </w:rPr>
        <w:t xml:space="preserve"> and</w:t>
      </w:r>
      <w:r w:rsidRPr="00D23B8F">
        <w:rPr>
          <w:rFonts w:cstheme="minorHAnsi"/>
          <w:sz w:val="24"/>
        </w:rPr>
        <w:t xml:space="preserve"> Kelly</w:t>
      </w:r>
      <w:r w:rsidRPr="00D23B8F">
        <w:rPr>
          <w:rFonts w:cstheme="minorHAnsi"/>
          <w:sz w:val="24"/>
          <w:szCs w:val="24"/>
        </w:rPr>
        <w:t xml:space="preserve"> 2012; Bradley, </w:t>
      </w:r>
      <w:r w:rsidR="0086327E" w:rsidRPr="00D06834">
        <w:rPr>
          <w:rFonts w:cstheme="minorHAnsi"/>
          <w:sz w:val="24"/>
          <w:szCs w:val="24"/>
        </w:rPr>
        <w:t>Noonan, Nugent and</w:t>
      </w:r>
      <w:r w:rsidR="00D1319B" w:rsidRPr="00D23B8F">
        <w:rPr>
          <w:rFonts w:cstheme="minorHAnsi"/>
          <w:sz w:val="24"/>
          <w:szCs w:val="24"/>
        </w:rPr>
        <w:t xml:space="preserve"> Scales</w:t>
      </w:r>
      <w:r w:rsidRPr="00D23B8F">
        <w:rPr>
          <w:rFonts w:cstheme="minorHAnsi"/>
          <w:sz w:val="24"/>
          <w:szCs w:val="24"/>
        </w:rPr>
        <w:t xml:space="preserve"> 2008; Devlin 2009)</w:t>
      </w:r>
      <w:r w:rsidR="006474FD" w:rsidRPr="00D23B8F">
        <w:rPr>
          <w:rFonts w:cstheme="minorHAnsi"/>
          <w:sz w:val="24"/>
          <w:szCs w:val="24"/>
        </w:rPr>
        <w:t>, y</w:t>
      </w:r>
      <w:r w:rsidR="00D9049A" w:rsidRPr="00D23B8F">
        <w:rPr>
          <w:rFonts w:cstheme="minorHAnsi"/>
          <w:sz w:val="24"/>
          <w:szCs w:val="24"/>
        </w:rPr>
        <w:t>et getting a handle on accurate participation statistics is very difficult as the two lead agencies for data collection, collation and analysis differ in the manner in which parity is conceptualised and calculated.  For example, t</w:t>
      </w:r>
      <w:r w:rsidRPr="00D23B8F">
        <w:rPr>
          <w:rFonts w:cstheme="minorHAnsi"/>
          <w:sz w:val="24"/>
          <w:szCs w:val="24"/>
        </w:rPr>
        <w:t xml:space="preserve">he Behrendt </w:t>
      </w:r>
      <w:r w:rsidRPr="00D23B8F">
        <w:rPr>
          <w:rFonts w:cstheme="minorHAnsi"/>
          <w:iCs/>
          <w:sz w:val="24"/>
          <w:szCs w:val="24"/>
        </w:rPr>
        <w:lastRenderedPageBreak/>
        <w:t>et al.</w:t>
      </w:r>
      <w:r w:rsidRPr="00D23B8F">
        <w:rPr>
          <w:rFonts w:cstheme="minorHAnsi"/>
          <w:sz w:val="24"/>
          <w:szCs w:val="24"/>
        </w:rPr>
        <w:t xml:space="preserve"> (2012) review of Indigenous higher education suggested a population parity rate of 2.2 per cent as the aspiration, reflecting the proportion of the population aged between 15 to 64 years of age that is Aboriginal and/or Torres Strait Islander (based on 2006 ABS population statistics</w:t>
      </w:r>
      <w:r w:rsidR="00832E6E" w:rsidRPr="00D23B8F">
        <w:rPr>
          <w:rFonts w:cstheme="minorHAnsi"/>
          <w:sz w:val="24"/>
          <w:szCs w:val="24"/>
        </w:rPr>
        <w:t xml:space="preserve"> now ten years old</w:t>
      </w:r>
      <w:r w:rsidRPr="00D23B8F">
        <w:rPr>
          <w:rFonts w:cstheme="minorHAnsi"/>
          <w:sz w:val="24"/>
          <w:szCs w:val="24"/>
        </w:rPr>
        <w:t>).  The Department of Education</w:t>
      </w:r>
      <w:r w:rsidR="008214FC" w:rsidRPr="00D23B8F">
        <w:rPr>
          <w:rFonts w:cstheme="minorHAnsi"/>
          <w:sz w:val="24"/>
          <w:szCs w:val="24"/>
        </w:rPr>
        <w:t>,</w:t>
      </w:r>
      <w:r w:rsidRPr="00D23B8F">
        <w:rPr>
          <w:rFonts w:cstheme="minorHAnsi"/>
          <w:sz w:val="24"/>
          <w:szCs w:val="24"/>
        </w:rPr>
        <w:t xml:space="preserve"> Employment and Workplace Relations on the other hand, argued </w:t>
      </w:r>
      <w:r w:rsidRPr="00D23B8F">
        <w:rPr>
          <w:rFonts w:cstheme="minorHAnsi"/>
          <w:sz w:val="24"/>
          <w:szCs w:val="24"/>
        </w:rPr>
        <w:lastRenderedPageBreak/>
        <w:t xml:space="preserve">for a parity rate of 3.1 per cent as an estimate of the proportion of Australian students expected to be Aboriginal or Torres Strait Islander, </w:t>
      </w:r>
      <w:r w:rsidR="00EA5822">
        <w:rPr>
          <w:rFonts w:cstheme="minorHAnsi"/>
          <w:sz w:val="24"/>
          <w:szCs w:val="24"/>
        </w:rPr>
        <w:t>‘</w:t>
      </w:r>
      <w:r w:rsidRPr="00D23B8F">
        <w:rPr>
          <w:rFonts w:cstheme="minorHAnsi"/>
          <w:sz w:val="24"/>
          <w:szCs w:val="24"/>
        </w:rPr>
        <w:t>if Aboriginal and Torres Strait Islander peoples were represented according to their proportion of the higher education aged population</w:t>
      </w:r>
      <w:r w:rsidR="00EA5822">
        <w:rPr>
          <w:rFonts w:cstheme="minorHAnsi"/>
          <w:sz w:val="24"/>
          <w:szCs w:val="24"/>
        </w:rPr>
        <w:t>’</w:t>
      </w:r>
      <w:r w:rsidRPr="00D23B8F">
        <w:rPr>
          <w:rFonts w:cstheme="minorHAnsi"/>
          <w:sz w:val="24"/>
          <w:szCs w:val="24"/>
        </w:rPr>
        <w:t xml:space="preserve"> </w:t>
      </w:r>
      <w:r w:rsidRPr="00D23B8F">
        <w:rPr>
          <w:rFonts w:cstheme="minorHAnsi"/>
          <w:noProof/>
          <w:sz w:val="24"/>
          <w:szCs w:val="24"/>
        </w:rPr>
        <w:t>(Panel for the Review of Higher Education Access and Outcomes for Aboriginal and Torres Strait Islander people 2011</w:t>
      </w:r>
      <w:r w:rsidR="00BE0103">
        <w:rPr>
          <w:rFonts w:cstheme="minorHAnsi"/>
          <w:noProof/>
          <w:sz w:val="24"/>
          <w:szCs w:val="24"/>
        </w:rPr>
        <w:t>:</w:t>
      </w:r>
      <w:r w:rsidRPr="00D23B8F">
        <w:rPr>
          <w:rFonts w:cstheme="minorHAnsi"/>
          <w:noProof/>
          <w:sz w:val="24"/>
          <w:szCs w:val="24"/>
        </w:rPr>
        <w:t>3)</w:t>
      </w:r>
      <w:r w:rsidRPr="00D23B8F">
        <w:rPr>
          <w:rFonts w:cstheme="minorHAnsi"/>
          <w:sz w:val="24"/>
          <w:szCs w:val="24"/>
        </w:rPr>
        <w:t xml:space="preserve">.  </w:t>
      </w:r>
    </w:p>
    <w:p w14:paraId="7AAD7903" w14:textId="77777777" w:rsidR="00412E0A" w:rsidRPr="00D23B8F" w:rsidRDefault="00D9049A" w:rsidP="008B1F03">
      <w:pPr>
        <w:spacing w:line="480" w:lineRule="auto"/>
        <w:rPr>
          <w:rFonts w:cstheme="minorHAnsi"/>
          <w:sz w:val="24"/>
          <w:szCs w:val="24"/>
        </w:rPr>
      </w:pPr>
      <w:r w:rsidRPr="00D23B8F">
        <w:rPr>
          <w:rFonts w:cstheme="minorHAnsi"/>
          <w:sz w:val="24"/>
          <w:szCs w:val="24"/>
        </w:rPr>
        <w:lastRenderedPageBreak/>
        <w:t xml:space="preserve">Further compounding </w:t>
      </w:r>
      <w:r w:rsidR="00A52EA1" w:rsidRPr="00D23B8F">
        <w:rPr>
          <w:rFonts w:cstheme="minorHAnsi"/>
          <w:sz w:val="24"/>
          <w:szCs w:val="24"/>
        </w:rPr>
        <w:t>efforts for statistical accuracy is that p</w:t>
      </w:r>
      <w:r w:rsidRPr="00D23B8F">
        <w:rPr>
          <w:rFonts w:cstheme="minorHAnsi"/>
          <w:sz w:val="24"/>
          <w:szCs w:val="24"/>
        </w:rPr>
        <w:t xml:space="preserve">articipation </w:t>
      </w:r>
      <w:r w:rsidR="000D3C5C" w:rsidRPr="00D23B8F">
        <w:rPr>
          <w:rFonts w:cstheme="minorHAnsi"/>
          <w:sz w:val="24"/>
          <w:szCs w:val="24"/>
        </w:rPr>
        <w:t>figure</w:t>
      </w:r>
      <w:r w:rsidRPr="00D23B8F">
        <w:rPr>
          <w:rFonts w:cstheme="minorHAnsi"/>
          <w:sz w:val="24"/>
          <w:szCs w:val="24"/>
        </w:rPr>
        <w:t>s supplied by universities</w:t>
      </w:r>
      <w:r w:rsidR="000D3C5C" w:rsidRPr="00D23B8F">
        <w:rPr>
          <w:rFonts w:cstheme="minorHAnsi"/>
          <w:sz w:val="24"/>
          <w:szCs w:val="24"/>
        </w:rPr>
        <w:t xml:space="preserve"> </w:t>
      </w:r>
      <w:r w:rsidRPr="00D23B8F">
        <w:rPr>
          <w:rFonts w:cstheme="minorHAnsi"/>
          <w:sz w:val="24"/>
          <w:szCs w:val="24"/>
        </w:rPr>
        <w:t xml:space="preserve">are reliant </w:t>
      </w:r>
      <w:r w:rsidR="00832E6E" w:rsidRPr="00D23B8F">
        <w:rPr>
          <w:rFonts w:cstheme="minorHAnsi"/>
          <w:sz w:val="24"/>
          <w:szCs w:val="24"/>
        </w:rPr>
        <w:t>up</w:t>
      </w:r>
      <w:r w:rsidR="000D3C5C" w:rsidRPr="00D23B8F">
        <w:rPr>
          <w:rFonts w:cstheme="minorHAnsi"/>
          <w:sz w:val="24"/>
          <w:szCs w:val="24"/>
        </w:rPr>
        <w:t>on self-identification</w:t>
      </w:r>
      <w:r w:rsidRPr="00D23B8F">
        <w:rPr>
          <w:rFonts w:cstheme="minorHAnsi"/>
          <w:sz w:val="24"/>
          <w:szCs w:val="24"/>
        </w:rPr>
        <w:t xml:space="preserve"> </w:t>
      </w:r>
      <w:r w:rsidR="00832E6E" w:rsidRPr="00D23B8F">
        <w:rPr>
          <w:rFonts w:cstheme="minorHAnsi"/>
          <w:sz w:val="24"/>
          <w:szCs w:val="24"/>
        </w:rPr>
        <w:t>as Aboriginal and/or Torres Strait Islander</w:t>
      </w:r>
      <w:r w:rsidR="006474FD" w:rsidRPr="00D23B8F">
        <w:rPr>
          <w:rFonts w:cstheme="minorHAnsi"/>
          <w:sz w:val="24"/>
          <w:szCs w:val="24"/>
        </w:rPr>
        <w:t xml:space="preserve"> </w:t>
      </w:r>
      <w:r w:rsidRPr="00D23B8F">
        <w:rPr>
          <w:rFonts w:cstheme="minorHAnsi"/>
          <w:sz w:val="24"/>
          <w:szCs w:val="24"/>
        </w:rPr>
        <w:t>by enrolling students</w:t>
      </w:r>
      <w:r w:rsidR="006474FD" w:rsidRPr="00D23B8F">
        <w:rPr>
          <w:rFonts w:cstheme="minorHAnsi"/>
          <w:sz w:val="24"/>
          <w:szCs w:val="24"/>
        </w:rPr>
        <w:t>.</w:t>
      </w:r>
      <w:r w:rsidR="000D3C5C" w:rsidRPr="00D23B8F">
        <w:rPr>
          <w:rFonts w:cstheme="minorHAnsi"/>
          <w:sz w:val="24"/>
          <w:szCs w:val="24"/>
        </w:rPr>
        <w:t xml:space="preserve">  The</w:t>
      </w:r>
      <w:r w:rsidR="00832E6E" w:rsidRPr="00D23B8F">
        <w:rPr>
          <w:rFonts w:cstheme="minorHAnsi"/>
          <w:sz w:val="24"/>
          <w:szCs w:val="24"/>
        </w:rPr>
        <w:t xml:space="preserve"> resulting figures </w:t>
      </w:r>
      <w:r w:rsidR="000D3C5C" w:rsidRPr="00D23B8F">
        <w:rPr>
          <w:rFonts w:cstheme="minorHAnsi"/>
          <w:sz w:val="24"/>
          <w:szCs w:val="24"/>
        </w:rPr>
        <w:t xml:space="preserve">are almost certainly an underestimation given that some students may choose not to identify for a range of reasons (Wilks </w:t>
      </w:r>
      <w:r w:rsidR="00B96C19">
        <w:rPr>
          <w:rFonts w:cstheme="minorHAnsi"/>
          <w:sz w:val="24"/>
          <w:szCs w:val="24"/>
        </w:rPr>
        <w:t>and</w:t>
      </w:r>
      <w:r w:rsidR="00B96C19" w:rsidRPr="00D23B8F">
        <w:rPr>
          <w:rFonts w:cstheme="minorHAnsi"/>
          <w:sz w:val="24"/>
          <w:szCs w:val="24"/>
        </w:rPr>
        <w:t xml:space="preserve"> </w:t>
      </w:r>
      <w:r w:rsidR="000D3C5C" w:rsidRPr="00D23B8F">
        <w:rPr>
          <w:rFonts w:cstheme="minorHAnsi"/>
          <w:sz w:val="24"/>
          <w:szCs w:val="24"/>
        </w:rPr>
        <w:t>Wilson,</w:t>
      </w:r>
      <w:r w:rsidRPr="00D23B8F">
        <w:rPr>
          <w:rFonts w:cstheme="minorHAnsi"/>
          <w:sz w:val="24"/>
          <w:szCs w:val="24"/>
        </w:rPr>
        <w:t xml:space="preserve"> 2015). </w:t>
      </w:r>
      <w:r w:rsidR="000D3C5C" w:rsidRPr="00D23B8F">
        <w:rPr>
          <w:rFonts w:cstheme="minorHAnsi"/>
          <w:sz w:val="24"/>
          <w:szCs w:val="24"/>
        </w:rPr>
        <w:t xml:space="preserve"> </w:t>
      </w:r>
      <w:r w:rsidR="00832E6E" w:rsidRPr="00D23B8F">
        <w:rPr>
          <w:rFonts w:cstheme="minorHAnsi"/>
          <w:sz w:val="24"/>
          <w:szCs w:val="24"/>
        </w:rPr>
        <w:t xml:space="preserve">Further, </w:t>
      </w:r>
      <w:r w:rsidR="000D3C5C" w:rsidRPr="00D23B8F">
        <w:rPr>
          <w:rFonts w:cstheme="minorHAnsi"/>
          <w:sz w:val="24"/>
          <w:szCs w:val="24"/>
        </w:rPr>
        <w:t xml:space="preserve">the Department of Education </w:t>
      </w:r>
      <w:r w:rsidR="000D3C5C" w:rsidRPr="00D23B8F">
        <w:rPr>
          <w:rFonts w:cstheme="minorHAnsi"/>
          <w:sz w:val="24"/>
          <w:szCs w:val="24"/>
        </w:rPr>
        <w:lastRenderedPageBreak/>
        <w:t>and Training statistics depend on</w:t>
      </w:r>
      <w:r w:rsidR="00832E6E" w:rsidRPr="00D23B8F">
        <w:rPr>
          <w:rFonts w:cstheme="minorHAnsi"/>
          <w:sz w:val="24"/>
          <w:szCs w:val="24"/>
        </w:rPr>
        <w:t xml:space="preserve"> the</w:t>
      </w:r>
      <w:r w:rsidR="000D3C5C" w:rsidRPr="00D23B8F">
        <w:rPr>
          <w:rFonts w:cstheme="minorHAnsi"/>
          <w:sz w:val="24"/>
          <w:szCs w:val="24"/>
        </w:rPr>
        <w:t xml:space="preserve"> internal reporting</w:t>
      </w:r>
      <w:r w:rsidR="00832E6E" w:rsidRPr="00D23B8F">
        <w:rPr>
          <w:rFonts w:cstheme="minorHAnsi"/>
          <w:sz w:val="24"/>
          <w:szCs w:val="24"/>
        </w:rPr>
        <w:t xml:space="preserve"> processes</w:t>
      </w:r>
      <w:r w:rsidR="000D3C5C" w:rsidRPr="00D23B8F">
        <w:rPr>
          <w:rFonts w:cstheme="minorHAnsi"/>
          <w:sz w:val="24"/>
          <w:szCs w:val="24"/>
        </w:rPr>
        <w:t xml:space="preserve"> of universities which</w:t>
      </w:r>
      <w:r w:rsidR="00832E6E" w:rsidRPr="00D23B8F">
        <w:rPr>
          <w:rFonts w:cstheme="minorHAnsi"/>
          <w:sz w:val="24"/>
          <w:szCs w:val="24"/>
        </w:rPr>
        <w:t xml:space="preserve"> are known to</w:t>
      </w:r>
      <w:r w:rsidR="000D3C5C" w:rsidRPr="00D23B8F">
        <w:rPr>
          <w:rFonts w:cstheme="minorHAnsi"/>
          <w:sz w:val="24"/>
          <w:szCs w:val="24"/>
        </w:rPr>
        <w:t xml:space="preserve"> vary by institution.  </w:t>
      </w:r>
    </w:p>
    <w:p w14:paraId="6C0865F8" w14:textId="5410071D" w:rsidR="00D74857" w:rsidRPr="00D23B8F" w:rsidRDefault="00AB6CE6" w:rsidP="008B1F03">
      <w:pPr>
        <w:autoSpaceDE w:val="0"/>
        <w:autoSpaceDN w:val="0"/>
        <w:adjustRightInd w:val="0"/>
        <w:spacing w:line="480" w:lineRule="auto"/>
        <w:rPr>
          <w:rFonts w:cstheme="minorHAnsi"/>
          <w:sz w:val="24"/>
          <w:szCs w:val="24"/>
        </w:rPr>
      </w:pPr>
      <w:r w:rsidRPr="00D23B8F">
        <w:rPr>
          <w:rFonts w:cstheme="minorHAnsi"/>
          <w:sz w:val="24"/>
          <w:szCs w:val="24"/>
        </w:rPr>
        <w:t xml:space="preserve">Statistics can be very persuasive yet are arguably </w:t>
      </w:r>
      <w:r w:rsidR="00503F5D" w:rsidRPr="00D23B8F">
        <w:rPr>
          <w:rFonts w:cstheme="minorHAnsi"/>
          <w:sz w:val="24"/>
          <w:szCs w:val="24"/>
        </w:rPr>
        <w:t xml:space="preserve">one of </w:t>
      </w:r>
      <w:r w:rsidRPr="00D23B8F">
        <w:rPr>
          <w:rFonts w:cstheme="minorHAnsi"/>
          <w:sz w:val="24"/>
          <w:szCs w:val="24"/>
        </w:rPr>
        <w:t xml:space="preserve">the least understood of all contributions to debates of national importance.  </w:t>
      </w:r>
      <w:r w:rsidR="00B2196F" w:rsidRPr="00D23B8F">
        <w:rPr>
          <w:rFonts w:cstheme="minorHAnsi"/>
          <w:sz w:val="24"/>
          <w:szCs w:val="24"/>
        </w:rPr>
        <w:t xml:space="preserve"> Indeed,</w:t>
      </w:r>
      <w:r w:rsidR="00D74857" w:rsidRPr="00D23B8F">
        <w:rPr>
          <w:rFonts w:cstheme="minorHAnsi"/>
          <w:sz w:val="24"/>
          <w:szCs w:val="24"/>
        </w:rPr>
        <w:t xml:space="preserve"> statistics are often poorly understood by </w:t>
      </w:r>
      <w:r w:rsidR="00D44479" w:rsidRPr="00D23B8F">
        <w:rPr>
          <w:rFonts w:cstheme="minorHAnsi"/>
          <w:sz w:val="24"/>
          <w:szCs w:val="24"/>
        </w:rPr>
        <w:t xml:space="preserve">the very interests </w:t>
      </w:r>
      <w:r w:rsidR="00EB0E55" w:rsidRPr="00D23B8F">
        <w:rPr>
          <w:rFonts w:cstheme="minorHAnsi"/>
          <w:sz w:val="24"/>
          <w:szCs w:val="24"/>
        </w:rPr>
        <w:t>that invoke</w:t>
      </w:r>
      <w:r w:rsidR="00D74857" w:rsidRPr="00D23B8F">
        <w:rPr>
          <w:rFonts w:cstheme="minorHAnsi"/>
          <w:sz w:val="24"/>
          <w:szCs w:val="24"/>
        </w:rPr>
        <w:t xml:space="preserve"> them, regardless of whether </w:t>
      </w:r>
      <w:r w:rsidR="00D74857" w:rsidRPr="00D23B8F">
        <w:rPr>
          <w:rFonts w:cstheme="minorHAnsi"/>
          <w:sz w:val="24"/>
          <w:szCs w:val="24"/>
        </w:rPr>
        <w:lastRenderedPageBreak/>
        <w:t>they are invoked in good faith</w:t>
      </w:r>
      <w:r w:rsidR="00933747" w:rsidRPr="00D23B8F">
        <w:rPr>
          <w:rFonts w:cstheme="minorHAnsi"/>
          <w:sz w:val="24"/>
          <w:szCs w:val="24"/>
        </w:rPr>
        <w:t>,</w:t>
      </w:r>
      <w:r w:rsidR="00D74857" w:rsidRPr="00D23B8F">
        <w:rPr>
          <w:rFonts w:cstheme="minorHAnsi"/>
          <w:sz w:val="24"/>
          <w:szCs w:val="24"/>
        </w:rPr>
        <w:t xml:space="preserve"> or for the purpose of obfuscation or some other deceptive </w:t>
      </w:r>
      <w:r w:rsidR="00D8127B" w:rsidRPr="00D23B8F">
        <w:rPr>
          <w:rFonts w:cstheme="minorHAnsi"/>
          <w:sz w:val="24"/>
          <w:szCs w:val="24"/>
        </w:rPr>
        <w:t xml:space="preserve">or manipulative </w:t>
      </w:r>
      <w:r w:rsidR="00D74857" w:rsidRPr="00D23B8F">
        <w:rPr>
          <w:rFonts w:cstheme="minorHAnsi"/>
          <w:sz w:val="24"/>
          <w:szCs w:val="24"/>
        </w:rPr>
        <w:t xml:space="preserve">intent.  British Prime Minister Benjamin Disraeli’s oft-quoted statement that there are </w:t>
      </w:r>
      <w:r w:rsidR="00EA5822">
        <w:rPr>
          <w:rFonts w:cstheme="minorHAnsi"/>
          <w:sz w:val="24"/>
          <w:szCs w:val="24"/>
        </w:rPr>
        <w:t>‘</w:t>
      </w:r>
      <w:r w:rsidR="00D74857" w:rsidRPr="00D23B8F">
        <w:rPr>
          <w:rFonts w:cstheme="minorHAnsi"/>
          <w:sz w:val="24"/>
          <w:szCs w:val="24"/>
        </w:rPr>
        <w:t>lies, damned lies and statistics</w:t>
      </w:r>
      <w:r w:rsidR="00EA5822">
        <w:rPr>
          <w:rFonts w:cstheme="minorHAnsi"/>
          <w:sz w:val="24"/>
          <w:szCs w:val="24"/>
        </w:rPr>
        <w:t>’</w:t>
      </w:r>
      <w:r w:rsidR="00D74857" w:rsidRPr="00D23B8F">
        <w:rPr>
          <w:rFonts w:cstheme="minorHAnsi"/>
          <w:sz w:val="24"/>
          <w:szCs w:val="24"/>
        </w:rPr>
        <w:t xml:space="preserve"> is not without </w:t>
      </w:r>
      <w:r w:rsidR="00B7088C" w:rsidRPr="00D23B8F">
        <w:rPr>
          <w:rFonts w:cstheme="minorHAnsi"/>
          <w:sz w:val="24"/>
          <w:szCs w:val="24"/>
        </w:rPr>
        <w:t>merit</w:t>
      </w:r>
      <w:r w:rsidR="00D74857" w:rsidRPr="00D23B8F">
        <w:rPr>
          <w:rStyle w:val="FootnoteReference"/>
          <w:rFonts w:asciiTheme="minorHAnsi" w:hAnsiTheme="minorHAnsi" w:cstheme="minorHAnsi"/>
          <w:sz w:val="24"/>
          <w:szCs w:val="24"/>
        </w:rPr>
        <w:footnoteReference w:id="2"/>
      </w:r>
      <w:r w:rsidR="00D74857" w:rsidRPr="00D23B8F">
        <w:rPr>
          <w:rFonts w:cstheme="minorHAnsi"/>
          <w:sz w:val="24"/>
          <w:szCs w:val="24"/>
        </w:rPr>
        <w:t xml:space="preserve">.  </w:t>
      </w:r>
      <w:r w:rsidR="00D8127B" w:rsidRPr="00D23B8F">
        <w:rPr>
          <w:rFonts w:cstheme="minorHAnsi"/>
          <w:sz w:val="24"/>
          <w:szCs w:val="24"/>
        </w:rPr>
        <w:t>Since the advent</w:t>
      </w:r>
      <w:r w:rsidR="00D74857" w:rsidRPr="00D23B8F">
        <w:rPr>
          <w:rFonts w:cstheme="minorHAnsi"/>
          <w:sz w:val="24"/>
          <w:szCs w:val="24"/>
        </w:rPr>
        <w:t xml:space="preserve"> of the abacus, statistics have been </w:t>
      </w:r>
      <w:r w:rsidR="00D74857" w:rsidRPr="00D23B8F">
        <w:rPr>
          <w:rFonts w:cstheme="minorHAnsi"/>
          <w:sz w:val="24"/>
          <w:szCs w:val="24"/>
        </w:rPr>
        <w:lastRenderedPageBreak/>
        <w:t>used to persuade; and they are easily manipula</w:t>
      </w:r>
      <w:r w:rsidR="00CC4874" w:rsidRPr="00D23B8F">
        <w:rPr>
          <w:rFonts w:cstheme="minorHAnsi"/>
          <w:sz w:val="24"/>
          <w:szCs w:val="24"/>
        </w:rPr>
        <w:t>ted</w:t>
      </w:r>
      <w:r w:rsidR="00601D6E" w:rsidRPr="00D23B8F">
        <w:rPr>
          <w:rFonts w:cstheme="minorHAnsi"/>
          <w:sz w:val="24"/>
          <w:szCs w:val="24"/>
        </w:rPr>
        <w:t xml:space="preserve">. </w:t>
      </w:r>
      <w:r w:rsidR="00D74857" w:rsidRPr="00D23B8F">
        <w:rPr>
          <w:rFonts w:cstheme="minorHAnsi"/>
          <w:sz w:val="24"/>
          <w:szCs w:val="24"/>
        </w:rPr>
        <w:t xml:space="preserve">Nonetheless, statistics are crucial to our understanding of complex </w:t>
      </w:r>
      <w:r w:rsidR="002B0550" w:rsidRPr="00D23B8F">
        <w:rPr>
          <w:rFonts w:cstheme="minorHAnsi"/>
          <w:sz w:val="24"/>
          <w:szCs w:val="24"/>
        </w:rPr>
        <w:t>issues</w:t>
      </w:r>
      <w:r w:rsidR="00D74857" w:rsidRPr="00D23B8F">
        <w:rPr>
          <w:rFonts w:cstheme="minorHAnsi"/>
          <w:sz w:val="24"/>
          <w:szCs w:val="24"/>
        </w:rPr>
        <w:t>.  This presents a dilemma, namely</w:t>
      </w:r>
      <w:r w:rsidR="00EB2617" w:rsidRPr="00D23B8F">
        <w:rPr>
          <w:rFonts w:cstheme="minorHAnsi"/>
          <w:sz w:val="24"/>
          <w:szCs w:val="24"/>
        </w:rPr>
        <w:t>—</w:t>
      </w:r>
      <w:r w:rsidR="00D44479" w:rsidRPr="00D23B8F">
        <w:rPr>
          <w:rFonts w:cstheme="minorHAnsi"/>
          <w:sz w:val="24"/>
          <w:szCs w:val="24"/>
        </w:rPr>
        <w:t>w</w:t>
      </w:r>
      <w:r w:rsidR="00D74857" w:rsidRPr="00D23B8F">
        <w:rPr>
          <w:rFonts w:cstheme="minorHAnsi"/>
          <w:sz w:val="24"/>
          <w:szCs w:val="24"/>
        </w:rPr>
        <w:t xml:space="preserve">e can’t do without </w:t>
      </w:r>
      <w:r w:rsidR="00503F5D" w:rsidRPr="00D23B8F">
        <w:rPr>
          <w:rFonts w:cstheme="minorHAnsi"/>
          <w:sz w:val="24"/>
          <w:szCs w:val="24"/>
        </w:rPr>
        <w:t xml:space="preserve">data and </w:t>
      </w:r>
      <w:r w:rsidR="00D74857" w:rsidRPr="00D23B8F">
        <w:rPr>
          <w:rFonts w:cstheme="minorHAnsi"/>
          <w:sz w:val="24"/>
          <w:szCs w:val="24"/>
        </w:rPr>
        <w:t xml:space="preserve">statistics yet we are poorly equipped to manage both their use and their consumption. </w:t>
      </w:r>
    </w:p>
    <w:p w14:paraId="193CBAEE" w14:textId="512CD691" w:rsidR="00D74857" w:rsidRPr="00D23B8F" w:rsidRDefault="00D93E60" w:rsidP="008B1F03">
      <w:pPr>
        <w:spacing w:after="0" w:line="480" w:lineRule="auto"/>
        <w:rPr>
          <w:rFonts w:cstheme="minorHAnsi"/>
          <w:sz w:val="24"/>
          <w:szCs w:val="24"/>
        </w:rPr>
      </w:pPr>
      <w:r w:rsidRPr="00D23B8F">
        <w:rPr>
          <w:rFonts w:cstheme="minorHAnsi"/>
          <w:sz w:val="24"/>
          <w:szCs w:val="24"/>
        </w:rPr>
        <w:lastRenderedPageBreak/>
        <w:t>In the Australian Aboriginal and Torres Strait Islander context</w:t>
      </w:r>
      <w:r w:rsidR="001E452B" w:rsidRPr="00D23B8F">
        <w:rPr>
          <w:rFonts w:cstheme="minorHAnsi"/>
          <w:sz w:val="24"/>
          <w:szCs w:val="24"/>
        </w:rPr>
        <w:t>,</w:t>
      </w:r>
      <w:r w:rsidRPr="00D23B8F">
        <w:rPr>
          <w:rFonts w:cstheme="minorHAnsi"/>
          <w:sz w:val="24"/>
          <w:szCs w:val="24"/>
        </w:rPr>
        <w:t xml:space="preserve"> the use (and abuse) </w:t>
      </w:r>
      <w:r w:rsidR="00F86781" w:rsidRPr="00D23B8F">
        <w:rPr>
          <w:rFonts w:cstheme="minorHAnsi"/>
          <w:sz w:val="24"/>
          <w:szCs w:val="24"/>
        </w:rPr>
        <w:t xml:space="preserve">of </w:t>
      </w:r>
      <w:r w:rsidRPr="00D23B8F">
        <w:rPr>
          <w:rFonts w:cstheme="minorHAnsi"/>
          <w:sz w:val="24"/>
          <w:szCs w:val="24"/>
        </w:rPr>
        <w:t>data and statistics present</w:t>
      </w:r>
      <w:r w:rsidR="00B22403">
        <w:rPr>
          <w:rFonts w:cstheme="minorHAnsi"/>
          <w:sz w:val="24"/>
          <w:szCs w:val="24"/>
        </w:rPr>
        <w:t>s</w:t>
      </w:r>
      <w:r w:rsidRPr="00D23B8F">
        <w:rPr>
          <w:rFonts w:cstheme="minorHAnsi"/>
          <w:sz w:val="24"/>
          <w:szCs w:val="24"/>
        </w:rPr>
        <w:t xml:space="preserve"> </w:t>
      </w:r>
      <w:r w:rsidR="000E1CA1" w:rsidRPr="00D23B8F">
        <w:rPr>
          <w:rFonts w:cstheme="minorHAnsi"/>
          <w:sz w:val="24"/>
          <w:szCs w:val="24"/>
        </w:rPr>
        <w:t xml:space="preserve">further </w:t>
      </w:r>
      <w:r w:rsidRPr="00D23B8F">
        <w:rPr>
          <w:rFonts w:cstheme="minorHAnsi"/>
          <w:sz w:val="24"/>
          <w:szCs w:val="24"/>
        </w:rPr>
        <w:t xml:space="preserve">layers of complexity. </w:t>
      </w:r>
      <w:r w:rsidR="000F46EE" w:rsidRPr="00D23B8F">
        <w:rPr>
          <w:rFonts w:cstheme="minorHAnsi"/>
          <w:sz w:val="24"/>
          <w:szCs w:val="24"/>
        </w:rPr>
        <w:t xml:space="preserve"> R</w:t>
      </w:r>
      <w:r w:rsidR="00D74857" w:rsidRPr="00D23B8F">
        <w:rPr>
          <w:rFonts w:cstheme="minorHAnsi"/>
          <w:sz w:val="24"/>
          <w:szCs w:val="24"/>
        </w:rPr>
        <w:t xml:space="preserve">esearchers </w:t>
      </w:r>
      <w:r w:rsidR="00D022CE" w:rsidRPr="00D23B8F">
        <w:rPr>
          <w:rFonts w:cstheme="minorHAnsi"/>
          <w:noProof/>
          <w:sz w:val="24"/>
          <w:szCs w:val="24"/>
        </w:rPr>
        <w:t xml:space="preserve">(for example, Rowse 2009; </w:t>
      </w:r>
      <w:r w:rsidR="00D74857" w:rsidRPr="00D23B8F">
        <w:rPr>
          <w:rFonts w:cstheme="minorHAnsi"/>
          <w:noProof/>
          <w:sz w:val="24"/>
          <w:szCs w:val="24"/>
        </w:rPr>
        <w:t>Taylor 2011; Walter 2010</w:t>
      </w:r>
      <w:r w:rsidR="00817FE4">
        <w:rPr>
          <w:rFonts w:cstheme="minorHAnsi"/>
          <w:noProof/>
          <w:sz w:val="24"/>
          <w:szCs w:val="24"/>
        </w:rPr>
        <w:t>; Walter and Andersen, 201</w:t>
      </w:r>
      <w:r w:rsidR="008F7D17">
        <w:rPr>
          <w:rFonts w:cstheme="minorHAnsi"/>
          <w:noProof/>
          <w:sz w:val="24"/>
          <w:szCs w:val="24"/>
        </w:rPr>
        <w:t>3</w:t>
      </w:r>
      <w:r w:rsidR="00D74857" w:rsidRPr="00D23B8F">
        <w:rPr>
          <w:rFonts w:cstheme="minorHAnsi"/>
          <w:noProof/>
          <w:sz w:val="24"/>
          <w:szCs w:val="24"/>
        </w:rPr>
        <w:t>)</w:t>
      </w:r>
      <w:r w:rsidR="00D74857" w:rsidRPr="00D23B8F">
        <w:rPr>
          <w:rFonts w:cstheme="minorHAnsi"/>
          <w:sz w:val="24"/>
          <w:szCs w:val="24"/>
        </w:rPr>
        <w:t xml:space="preserve"> have interrogated motivations, </w:t>
      </w:r>
      <w:r w:rsidR="00EA5822">
        <w:rPr>
          <w:rFonts w:cstheme="minorHAnsi"/>
          <w:sz w:val="24"/>
          <w:szCs w:val="24"/>
        </w:rPr>
        <w:t>‘</w:t>
      </w:r>
      <w:r w:rsidR="00010007" w:rsidRPr="00D23B8F">
        <w:rPr>
          <w:rFonts w:cstheme="minorHAnsi"/>
          <w:sz w:val="24"/>
          <w:szCs w:val="24"/>
        </w:rPr>
        <w:t>social interests</w:t>
      </w:r>
      <w:r w:rsidR="00EA5822">
        <w:rPr>
          <w:rFonts w:cstheme="minorHAnsi"/>
          <w:sz w:val="24"/>
          <w:szCs w:val="24"/>
        </w:rPr>
        <w:t>’</w:t>
      </w:r>
      <w:r w:rsidR="0025675E" w:rsidRPr="00D23B8F">
        <w:rPr>
          <w:rFonts w:cstheme="minorHAnsi"/>
          <w:sz w:val="24"/>
          <w:szCs w:val="24"/>
        </w:rPr>
        <w:t xml:space="preserve"> </w:t>
      </w:r>
      <w:r w:rsidR="00D74857" w:rsidRPr="00D23B8F">
        <w:rPr>
          <w:rFonts w:cstheme="minorHAnsi"/>
          <w:noProof/>
          <w:sz w:val="24"/>
          <w:szCs w:val="24"/>
        </w:rPr>
        <w:t>(Watts 2003 cited in Rowse, 2009</w:t>
      </w:r>
      <w:r w:rsidR="00B96C19">
        <w:rPr>
          <w:rFonts w:cstheme="minorHAnsi"/>
          <w:noProof/>
          <w:sz w:val="24"/>
          <w:szCs w:val="24"/>
        </w:rPr>
        <w:t>:</w:t>
      </w:r>
      <w:r w:rsidR="00D74857" w:rsidRPr="00D23B8F">
        <w:rPr>
          <w:rFonts w:cstheme="minorHAnsi"/>
          <w:noProof/>
          <w:sz w:val="24"/>
          <w:szCs w:val="24"/>
        </w:rPr>
        <w:t>195)</w:t>
      </w:r>
      <w:r w:rsidR="00D74857" w:rsidRPr="00D23B8F">
        <w:rPr>
          <w:rFonts w:cstheme="minorHAnsi"/>
          <w:sz w:val="24"/>
          <w:szCs w:val="24"/>
        </w:rPr>
        <w:t xml:space="preserve"> and practices associated with collecting data about Aboriginal and </w:t>
      </w:r>
      <w:r w:rsidR="00D74857" w:rsidRPr="00D23B8F">
        <w:rPr>
          <w:rFonts w:cstheme="minorHAnsi"/>
          <w:sz w:val="24"/>
          <w:szCs w:val="24"/>
        </w:rPr>
        <w:lastRenderedPageBreak/>
        <w:t>Torres Strait Islander peoples within non-Indigenous frameworks</w:t>
      </w:r>
      <w:r w:rsidR="00CC4874" w:rsidRPr="00D23B8F">
        <w:rPr>
          <w:rFonts w:cstheme="minorHAnsi"/>
          <w:sz w:val="24"/>
          <w:szCs w:val="24"/>
        </w:rPr>
        <w:t xml:space="preserve"> in Australia</w:t>
      </w:r>
      <w:r w:rsidR="00D74857" w:rsidRPr="00D23B8F">
        <w:rPr>
          <w:rFonts w:cstheme="minorHAnsi"/>
          <w:sz w:val="24"/>
          <w:szCs w:val="24"/>
        </w:rPr>
        <w:t xml:space="preserve">.  Walter </w:t>
      </w:r>
      <w:r w:rsidR="00D74857" w:rsidRPr="00D23B8F">
        <w:rPr>
          <w:rFonts w:cstheme="minorHAnsi"/>
          <w:noProof/>
          <w:sz w:val="24"/>
          <w:szCs w:val="24"/>
        </w:rPr>
        <w:t>(2010)</w:t>
      </w:r>
      <w:r w:rsidR="00D74857" w:rsidRPr="00D23B8F">
        <w:rPr>
          <w:rFonts w:cstheme="minorHAnsi"/>
          <w:sz w:val="24"/>
          <w:szCs w:val="24"/>
        </w:rPr>
        <w:t xml:space="preserve">, for example, cites recent policies and projects such as the </w:t>
      </w:r>
      <w:r w:rsidR="001E452B" w:rsidRPr="00D23B8F">
        <w:rPr>
          <w:rFonts w:cstheme="minorHAnsi"/>
          <w:sz w:val="24"/>
          <w:szCs w:val="24"/>
        </w:rPr>
        <w:t>Council</w:t>
      </w:r>
      <w:r w:rsidR="0070706A" w:rsidRPr="00D23B8F">
        <w:rPr>
          <w:rFonts w:cstheme="minorHAnsi"/>
          <w:sz w:val="24"/>
          <w:szCs w:val="24"/>
        </w:rPr>
        <w:t xml:space="preserve"> of Australian Governments (</w:t>
      </w:r>
      <w:r w:rsidR="00D74857" w:rsidRPr="00D23B8F">
        <w:rPr>
          <w:rFonts w:cstheme="minorHAnsi"/>
          <w:sz w:val="24"/>
          <w:szCs w:val="24"/>
        </w:rPr>
        <w:t>COAG</w:t>
      </w:r>
      <w:r w:rsidR="0070706A" w:rsidRPr="00D23B8F">
        <w:rPr>
          <w:rFonts w:cstheme="minorHAnsi"/>
          <w:sz w:val="24"/>
          <w:szCs w:val="24"/>
        </w:rPr>
        <w:t>)</w:t>
      </w:r>
      <w:r w:rsidR="00D74857" w:rsidRPr="00D23B8F">
        <w:rPr>
          <w:rFonts w:cstheme="minorHAnsi"/>
          <w:sz w:val="24"/>
          <w:szCs w:val="24"/>
        </w:rPr>
        <w:t xml:space="preserve"> </w:t>
      </w:r>
      <w:r w:rsidR="00D74857" w:rsidRPr="00D23B8F">
        <w:rPr>
          <w:rFonts w:cstheme="minorHAnsi"/>
          <w:i/>
          <w:sz w:val="24"/>
          <w:szCs w:val="24"/>
        </w:rPr>
        <w:t xml:space="preserve">Closing the Gap </w:t>
      </w:r>
      <w:r w:rsidR="00F86781" w:rsidRPr="00D23B8F">
        <w:rPr>
          <w:rFonts w:cstheme="minorHAnsi"/>
          <w:sz w:val="24"/>
          <w:szCs w:val="24"/>
        </w:rPr>
        <w:t>in which, she argued</w:t>
      </w:r>
      <w:r w:rsidR="00D74857" w:rsidRPr="00D23B8F">
        <w:rPr>
          <w:rFonts w:cstheme="minorHAnsi"/>
          <w:sz w:val="24"/>
          <w:szCs w:val="24"/>
        </w:rPr>
        <w:t xml:space="preserve">, statistics are </w:t>
      </w:r>
      <w:r w:rsidR="00F74816" w:rsidRPr="00D23B8F">
        <w:rPr>
          <w:rFonts w:cstheme="minorHAnsi"/>
          <w:sz w:val="24"/>
          <w:szCs w:val="24"/>
        </w:rPr>
        <w:t xml:space="preserve">deployed </w:t>
      </w:r>
      <w:r w:rsidR="00D74857" w:rsidRPr="00D23B8F">
        <w:rPr>
          <w:rFonts w:cstheme="minorHAnsi"/>
          <w:sz w:val="24"/>
          <w:szCs w:val="24"/>
        </w:rPr>
        <w:t xml:space="preserve">for the purposes </w:t>
      </w:r>
      <w:r w:rsidR="00CC4874" w:rsidRPr="00D23B8F">
        <w:rPr>
          <w:rFonts w:cstheme="minorHAnsi"/>
          <w:sz w:val="24"/>
          <w:szCs w:val="24"/>
        </w:rPr>
        <w:t xml:space="preserve">of </w:t>
      </w:r>
      <w:r w:rsidR="004A0FD3" w:rsidRPr="00D23B8F">
        <w:rPr>
          <w:rFonts w:cstheme="minorHAnsi"/>
          <w:sz w:val="24"/>
          <w:szCs w:val="24"/>
        </w:rPr>
        <w:t>“</w:t>
      </w:r>
      <w:r w:rsidR="00F86781" w:rsidRPr="00D23B8F">
        <w:rPr>
          <w:rFonts w:cstheme="minorHAnsi"/>
          <w:sz w:val="24"/>
          <w:szCs w:val="24"/>
        </w:rPr>
        <w:t>fixing</w:t>
      </w:r>
      <w:r w:rsidR="0070706A" w:rsidRPr="00D23B8F">
        <w:rPr>
          <w:rFonts w:cstheme="minorHAnsi"/>
          <w:sz w:val="24"/>
          <w:szCs w:val="24"/>
        </w:rPr>
        <w:t xml:space="preserve"> </w:t>
      </w:r>
      <w:r w:rsidR="00F86781" w:rsidRPr="00D23B8F">
        <w:rPr>
          <w:rFonts w:cstheme="minorHAnsi"/>
          <w:sz w:val="24"/>
          <w:szCs w:val="24"/>
        </w:rPr>
        <w:t xml:space="preserve">the Indigenous </w:t>
      </w:r>
      <w:r w:rsidR="0070706A" w:rsidRPr="00D23B8F">
        <w:rPr>
          <w:rFonts w:cstheme="minorHAnsi"/>
          <w:sz w:val="24"/>
          <w:szCs w:val="24"/>
        </w:rPr>
        <w:t xml:space="preserve">problem” </w:t>
      </w:r>
      <w:r w:rsidR="00D74857" w:rsidRPr="00D23B8F">
        <w:rPr>
          <w:rFonts w:cstheme="minorHAnsi"/>
          <w:sz w:val="24"/>
          <w:szCs w:val="24"/>
        </w:rPr>
        <w:t>(50).</w:t>
      </w:r>
    </w:p>
    <w:p w14:paraId="49DBFC3A" w14:textId="77777777" w:rsidR="002A0B9C" w:rsidRPr="00D23B8F" w:rsidRDefault="002A0B9C" w:rsidP="008B1F03">
      <w:pPr>
        <w:spacing w:after="0" w:line="480" w:lineRule="auto"/>
        <w:rPr>
          <w:rFonts w:cstheme="minorHAnsi"/>
          <w:sz w:val="24"/>
          <w:szCs w:val="24"/>
        </w:rPr>
      </w:pPr>
    </w:p>
    <w:p w14:paraId="176806A7" w14:textId="47E0B1C6" w:rsidR="00F003B6" w:rsidRPr="00D23B8F" w:rsidRDefault="00F003B6" w:rsidP="008B1F03">
      <w:pPr>
        <w:spacing w:line="480" w:lineRule="auto"/>
        <w:rPr>
          <w:rFonts w:cstheme="minorHAnsi"/>
          <w:sz w:val="24"/>
          <w:szCs w:val="24"/>
        </w:rPr>
      </w:pPr>
      <w:r w:rsidRPr="00D23B8F">
        <w:rPr>
          <w:rFonts w:cstheme="minorHAnsi"/>
          <w:sz w:val="24"/>
          <w:szCs w:val="24"/>
        </w:rPr>
        <w:lastRenderedPageBreak/>
        <w:t xml:space="preserve">To date, the </w:t>
      </w:r>
      <w:r w:rsidR="00595A22">
        <w:rPr>
          <w:rFonts w:cstheme="minorHAnsi"/>
          <w:sz w:val="24"/>
          <w:szCs w:val="24"/>
        </w:rPr>
        <w:t>‘</w:t>
      </w:r>
      <w:r w:rsidRPr="00D23B8F">
        <w:rPr>
          <w:rFonts w:cstheme="minorHAnsi"/>
          <w:sz w:val="24"/>
          <w:szCs w:val="24"/>
        </w:rPr>
        <w:t>objective</w:t>
      </w:r>
      <w:r w:rsidR="00595A22">
        <w:rPr>
          <w:rFonts w:cstheme="minorHAnsi"/>
          <w:sz w:val="24"/>
          <w:szCs w:val="24"/>
        </w:rPr>
        <w:t>’</w:t>
      </w:r>
      <w:r w:rsidRPr="00D23B8F">
        <w:rPr>
          <w:rFonts w:cstheme="minorHAnsi"/>
          <w:sz w:val="24"/>
          <w:szCs w:val="24"/>
        </w:rPr>
        <w:t xml:space="preserve"> statistical data and analysis in relation to Aboriginal and Torres Strait Islander peoples continue to </w:t>
      </w:r>
      <w:r w:rsidR="004C6574" w:rsidRPr="00D23B8F">
        <w:rPr>
          <w:rFonts w:cstheme="minorHAnsi"/>
          <w:sz w:val="24"/>
          <w:szCs w:val="24"/>
        </w:rPr>
        <w:t xml:space="preserve">generally </w:t>
      </w:r>
      <w:r w:rsidRPr="00D23B8F">
        <w:rPr>
          <w:rFonts w:cstheme="minorHAnsi"/>
          <w:sz w:val="24"/>
          <w:szCs w:val="24"/>
        </w:rPr>
        <w:t>reflect non-Indigenous epistemological, ontological and axiological viewpoint</w:t>
      </w:r>
      <w:r w:rsidR="004A32DE">
        <w:rPr>
          <w:rFonts w:cstheme="minorHAnsi"/>
          <w:sz w:val="24"/>
          <w:szCs w:val="24"/>
        </w:rPr>
        <w:t>s.</w:t>
      </w:r>
      <w:r w:rsidRPr="00D23B8F">
        <w:rPr>
          <w:rFonts w:cstheme="minorHAnsi"/>
          <w:sz w:val="24"/>
          <w:szCs w:val="24"/>
        </w:rPr>
        <w:t xml:space="preserve"> </w:t>
      </w:r>
      <w:r w:rsidR="004A32DE">
        <w:rPr>
          <w:rFonts w:cstheme="minorHAnsi"/>
          <w:sz w:val="24"/>
          <w:szCs w:val="24"/>
        </w:rPr>
        <w:t xml:space="preserve"> These persist </w:t>
      </w:r>
      <w:r w:rsidRPr="00D23B8F">
        <w:rPr>
          <w:rFonts w:cstheme="minorHAnsi"/>
          <w:sz w:val="24"/>
          <w:szCs w:val="24"/>
        </w:rPr>
        <w:t xml:space="preserve">despite the efforts of key Indigenous advisory and representative groups such as the National Advisory Group on Aboriginal and Torres Strait Islander Health Information and </w:t>
      </w:r>
      <w:r w:rsidRPr="00D23B8F">
        <w:rPr>
          <w:rFonts w:cstheme="minorHAnsi"/>
          <w:sz w:val="24"/>
          <w:szCs w:val="24"/>
        </w:rPr>
        <w:lastRenderedPageBreak/>
        <w:t>Data (NAGATSIHID)</w:t>
      </w:r>
      <w:r w:rsidR="004A32DE">
        <w:rPr>
          <w:rFonts w:cstheme="minorHAnsi"/>
          <w:sz w:val="24"/>
          <w:szCs w:val="24"/>
        </w:rPr>
        <w:t>,</w:t>
      </w:r>
      <w:r w:rsidRPr="00D23B8F">
        <w:rPr>
          <w:rFonts w:cstheme="minorHAnsi"/>
          <w:sz w:val="24"/>
          <w:szCs w:val="24"/>
        </w:rPr>
        <w:t xml:space="preserve"> and the National Indigenous Reform Agreement Performance Information Management Group (NIRAPIMG).  </w:t>
      </w:r>
      <w:r w:rsidR="00B208C8" w:rsidRPr="00D23B8F">
        <w:rPr>
          <w:rFonts w:cstheme="minorHAnsi"/>
          <w:sz w:val="24"/>
          <w:szCs w:val="24"/>
        </w:rPr>
        <w:t>G</w:t>
      </w:r>
      <w:r w:rsidRPr="00D23B8F">
        <w:rPr>
          <w:rFonts w:cstheme="minorHAnsi"/>
          <w:sz w:val="24"/>
          <w:szCs w:val="24"/>
        </w:rPr>
        <w:t xml:space="preserve">athering statistics and the uses for which they are deployed is a discursive act that serves social, political, cultural and historical functions.  </w:t>
      </w:r>
    </w:p>
    <w:p w14:paraId="0CD3F662" w14:textId="77777777" w:rsidR="00B7088C" w:rsidRPr="00D23B8F" w:rsidRDefault="00832E6E" w:rsidP="008B1F03">
      <w:pPr>
        <w:spacing w:after="0" w:line="480" w:lineRule="auto"/>
        <w:rPr>
          <w:rFonts w:cstheme="minorHAnsi"/>
          <w:noProof/>
          <w:sz w:val="24"/>
          <w:szCs w:val="24"/>
        </w:rPr>
      </w:pPr>
      <w:r w:rsidRPr="00D23B8F">
        <w:rPr>
          <w:rFonts w:cstheme="minorHAnsi"/>
          <w:sz w:val="24"/>
          <w:szCs w:val="24"/>
        </w:rPr>
        <w:t>As mentioned, d</w:t>
      </w:r>
      <w:r w:rsidR="00B7088C" w:rsidRPr="00D23B8F">
        <w:rPr>
          <w:rFonts w:cstheme="minorHAnsi"/>
          <w:sz w:val="24"/>
          <w:szCs w:val="24"/>
        </w:rPr>
        <w:t xml:space="preserve">ata and statistics relating to Aboriginal and Torres Strait Islander participation in higher education are </w:t>
      </w:r>
      <w:r w:rsidR="00B7088C" w:rsidRPr="00D23B8F">
        <w:rPr>
          <w:rFonts w:cstheme="minorHAnsi"/>
          <w:sz w:val="24"/>
          <w:szCs w:val="24"/>
        </w:rPr>
        <w:lastRenderedPageBreak/>
        <w:t xml:space="preserve">obtained from </w:t>
      </w:r>
      <w:r w:rsidR="001C1DC5" w:rsidRPr="00D23B8F">
        <w:rPr>
          <w:rFonts w:cstheme="minorHAnsi"/>
          <w:sz w:val="24"/>
          <w:szCs w:val="24"/>
        </w:rPr>
        <w:t xml:space="preserve">two main </w:t>
      </w:r>
      <w:r w:rsidR="00B7088C" w:rsidRPr="00D23B8F">
        <w:rPr>
          <w:rFonts w:cstheme="minorHAnsi"/>
          <w:sz w:val="24"/>
          <w:szCs w:val="24"/>
        </w:rPr>
        <w:t>sources</w:t>
      </w:r>
      <w:r w:rsidR="001C1DC5" w:rsidRPr="00D23B8F">
        <w:rPr>
          <w:rFonts w:cstheme="minorHAnsi"/>
          <w:sz w:val="24"/>
          <w:szCs w:val="24"/>
        </w:rPr>
        <w:t>:</w:t>
      </w:r>
      <w:r w:rsidR="00B7088C" w:rsidRPr="00D23B8F">
        <w:rPr>
          <w:rFonts w:cstheme="minorHAnsi"/>
          <w:sz w:val="24"/>
          <w:szCs w:val="24"/>
        </w:rPr>
        <w:t xml:space="preserve"> the Department of Education and Training (previously the </w:t>
      </w:r>
      <w:r w:rsidR="00B7088C" w:rsidRPr="00D23B8F">
        <w:rPr>
          <w:rFonts w:cstheme="minorHAnsi"/>
          <w:noProof/>
          <w:sz w:val="24"/>
          <w:szCs w:val="24"/>
        </w:rPr>
        <w:t>Department of Education, and the Department of Education, Employment and Workplace Relations</w:t>
      </w:r>
      <w:r w:rsidR="002504CF" w:rsidRPr="00D23B8F">
        <w:rPr>
          <w:rFonts w:cstheme="minorHAnsi"/>
          <w:noProof/>
          <w:sz w:val="24"/>
          <w:szCs w:val="24"/>
        </w:rPr>
        <w:t>)</w:t>
      </w:r>
      <w:r w:rsidR="001C1DC5" w:rsidRPr="00D23B8F">
        <w:rPr>
          <w:rFonts w:cstheme="minorHAnsi"/>
          <w:noProof/>
          <w:sz w:val="24"/>
          <w:szCs w:val="24"/>
        </w:rPr>
        <w:t xml:space="preserve"> and the Australian Bureau of Statistics (ABS).  However other sources are used to supplement</w:t>
      </w:r>
      <w:r w:rsidR="003E4061" w:rsidRPr="00D23B8F">
        <w:rPr>
          <w:rFonts w:cstheme="minorHAnsi"/>
          <w:noProof/>
          <w:sz w:val="24"/>
          <w:szCs w:val="24"/>
        </w:rPr>
        <w:t xml:space="preserve"> them,</w:t>
      </w:r>
      <w:r w:rsidR="001C1DC5" w:rsidRPr="00D23B8F">
        <w:rPr>
          <w:rFonts w:cstheme="minorHAnsi"/>
          <w:noProof/>
          <w:sz w:val="24"/>
          <w:szCs w:val="24"/>
        </w:rPr>
        <w:t xml:space="preserve"> for example</w:t>
      </w:r>
      <w:r w:rsidR="00B7088C" w:rsidRPr="00D23B8F">
        <w:rPr>
          <w:rFonts w:cstheme="minorHAnsi"/>
          <w:noProof/>
          <w:sz w:val="24"/>
          <w:szCs w:val="24"/>
        </w:rPr>
        <w:t xml:space="preserve"> the Department of Industry (previously the Department of Industry, Innovation, Climate </w:t>
      </w:r>
      <w:r w:rsidR="00B7088C" w:rsidRPr="00D23B8F">
        <w:rPr>
          <w:rFonts w:cstheme="minorHAnsi"/>
          <w:noProof/>
          <w:sz w:val="24"/>
          <w:szCs w:val="24"/>
        </w:rPr>
        <w:lastRenderedPageBreak/>
        <w:t>Change, Research, Technology and Science</w:t>
      </w:r>
      <w:r w:rsidR="001C1DC5" w:rsidRPr="00D23B8F">
        <w:rPr>
          <w:rFonts w:cstheme="minorHAnsi"/>
          <w:noProof/>
          <w:sz w:val="24"/>
          <w:szCs w:val="24"/>
        </w:rPr>
        <w:t xml:space="preserve">); </w:t>
      </w:r>
      <w:r w:rsidR="00B7088C" w:rsidRPr="00D23B8F">
        <w:rPr>
          <w:rFonts w:cstheme="minorHAnsi"/>
          <w:noProof/>
          <w:sz w:val="24"/>
          <w:szCs w:val="24"/>
        </w:rPr>
        <w:t xml:space="preserve">the Tertiary Education Quality and Standards Agency (TEQSA); individual universities through data collections contributing to reports such as the annual Indigenous Education Statements ; and state Vocational Education and Training (VET), and private providers. </w:t>
      </w:r>
    </w:p>
    <w:p w14:paraId="3A9FCC8B" w14:textId="77777777" w:rsidR="00B7088C" w:rsidRPr="00D23B8F" w:rsidRDefault="00B7088C" w:rsidP="008B1F03">
      <w:pPr>
        <w:spacing w:line="480" w:lineRule="auto"/>
        <w:rPr>
          <w:rFonts w:cstheme="minorHAnsi"/>
          <w:sz w:val="24"/>
          <w:szCs w:val="24"/>
        </w:rPr>
      </w:pPr>
    </w:p>
    <w:p w14:paraId="1F76BA27" w14:textId="1210D35F" w:rsidR="006C226B" w:rsidRPr="00D23B8F" w:rsidRDefault="006C226B" w:rsidP="008B1F03">
      <w:pPr>
        <w:spacing w:after="0" w:line="480" w:lineRule="auto"/>
        <w:rPr>
          <w:rFonts w:cstheme="minorHAnsi"/>
          <w:sz w:val="24"/>
          <w:szCs w:val="24"/>
        </w:rPr>
      </w:pPr>
      <w:r w:rsidRPr="00D23B8F">
        <w:rPr>
          <w:rFonts w:cstheme="minorHAnsi"/>
          <w:sz w:val="24"/>
          <w:szCs w:val="24"/>
        </w:rPr>
        <w:lastRenderedPageBreak/>
        <w:t>Australia is not alone when it comes to data quality challenges, and there</w:t>
      </w:r>
      <w:r w:rsidR="00B208C8" w:rsidRPr="00D23B8F">
        <w:rPr>
          <w:rFonts w:cstheme="minorHAnsi"/>
          <w:sz w:val="24"/>
          <w:szCs w:val="24"/>
        </w:rPr>
        <w:t xml:space="preserve"> are </w:t>
      </w:r>
      <w:r w:rsidRPr="00D23B8F">
        <w:rPr>
          <w:rFonts w:cstheme="minorHAnsi"/>
          <w:sz w:val="24"/>
          <w:szCs w:val="24"/>
        </w:rPr>
        <w:t xml:space="preserve">a number of </w:t>
      </w:r>
      <w:r w:rsidR="00B208C8" w:rsidRPr="00D23B8F">
        <w:rPr>
          <w:rFonts w:cstheme="minorHAnsi"/>
          <w:sz w:val="24"/>
          <w:szCs w:val="24"/>
        </w:rPr>
        <w:t>international examples of the issues in higher education data quality and statistics (c.f. Bonaccorsi, Daraio, Lepori</w:t>
      </w:r>
      <w:r w:rsidR="00594319">
        <w:rPr>
          <w:rFonts w:cstheme="minorHAnsi"/>
          <w:sz w:val="24"/>
          <w:szCs w:val="24"/>
        </w:rPr>
        <w:t xml:space="preserve"> and</w:t>
      </w:r>
      <w:r w:rsidR="00B208C8" w:rsidRPr="00D23B8F">
        <w:rPr>
          <w:rFonts w:cstheme="minorHAnsi"/>
          <w:sz w:val="24"/>
          <w:szCs w:val="24"/>
        </w:rPr>
        <w:t xml:space="preserve"> Slipersaeter 2007; Deacon, Osman</w:t>
      </w:r>
      <w:r w:rsidR="00594319">
        <w:rPr>
          <w:rFonts w:cstheme="minorHAnsi"/>
          <w:sz w:val="24"/>
          <w:szCs w:val="24"/>
        </w:rPr>
        <w:t xml:space="preserve"> and</w:t>
      </w:r>
      <w:r w:rsidR="00B208C8" w:rsidRPr="00D23B8F">
        <w:rPr>
          <w:rFonts w:cstheme="minorHAnsi"/>
          <w:sz w:val="24"/>
          <w:szCs w:val="24"/>
        </w:rPr>
        <w:t xml:space="preserve"> Buchler</w:t>
      </w:r>
      <w:r w:rsidR="00594319">
        <w:rPr>
          <w:rFonts w:cstheme="minorHAnsi"/>
          <w:sz w:val="24"/>
          <w:szCs w:val="24"/>
        </w:rPr>
        <w:t xml:space="preserve"> </w:t>
      </w:r>
      <w:r w:rsidR="00B208C8" w:rsidRPr="00D23B8F">
        <w:rPr>
          <w:rFonts w:cstheme="minorHAnsi"/>
          <w:sz w:val="24"/>
          <w:szCs w:val="24"/>
        </w:rPr>
        <w:t xml:space="preserve">2009).  </w:t>
      </w:r>
    </w:p>
    <w:p w14:paraId="28D032DA" w14:textId="77777777" w:rsidR="006C226B" w:rsidRPr="00D23B8F" w:rsidRDefault="006C226B" w:rsidP="008B1F03">
      <w:pPr>
        <w:spacing w:after="0" w:line="480" w:lineRule="auto"/>
        <w:rPr>
          <w:rFonts w:cstheme="minorHAnsi"/>
          <w:sz w:val="24"/>
          <w:szCs w:val="24"/>
        </w:rPr>
      </w:pPr>
    </w:p>
    <w:p w14:paraId="563B9003" w14:textId="1BDCC0F8" w:rsidR="00792E2D" w:rsidRPr="00D23B8F" w:rsidRDefault="00B208C8" w:rsidP="008B1F03">
      <w:pPr>
        <w:spacing w:after="0" w:line="480" w:lineRule="auto"/>
        <w:rPr>
          <w:rFonts w:cstheme="minorHAnsi"/>
          <w:sz w:val="24"/>
          <w:szCs w:val="24"/>
        </w:rPr>
      </w:pPr>
      <w:r w:rsidRPr="00D23B8F">
        <w:rPr>
          <w:rFonts w:cstheme="minorHAnsi"/>
          <w:sz w:val="24"/>
          <w:szCs w:val="24"/>
        </w:rPr>
        <w:lastRenderedPageBreak/>
        <w:t xml:space="preserve">In the </w:t>
      </w:r>
      <w:r w:rsidR="006C226B" w:rsidRPr="00D23B8F">
        <w:rPr>
          <w:rFonts w:cstheme="minorHAnsi"/>
          <w:sz w:val="24"/>
          <w:szCs w:val="24"/>
        </w:rPr>
        <w:t xml:space="preserve">sphere of </w:t>
      </w:r>
      <w:r w:rsidRPr="00D23B8F">
        <w:rPr>
          <w:rFonts w:cstheme="minorHAnsi"/>
          <w:sz w:val="24"/>
          <w:szCs w:val="24"/>
        </w:rPr>
        <w:t>education,</w:t>
      </w:r>
      <w:r w:rsidR="006C226B" w:rsidRPr="00D23B8F">
        <w:rPr>
          <w:rFonts w:cstheme="minorHAnsi"/>
          <w:sz w:val="24"/>
          <w:szCs w:val="24"/>
        </w:rPr>
        <w:t xml:space="preserve"> the manipulation of</w:t>
      </w:r>
      <w:r w:rsidRPr="00D23B8F">
        <w:rPr>
          <w:rFonts w:cstheme="minorHAnsi"/>
          <w:sz w:val="24"/>
          <w:szCs w:val="24"/>
        </w:rPr>
        <w:t xml:space="preserve"> data and statistics</w:t>
      </w:r>
      <w:r w:rsidR="006C226B" w:rsidRPr="00D23B8F">
        <w:rPr>
          <w:rFonts w:cstheme="minorHAnsi"/>
          <w:sz w:val="24"/>
          <w:szCs w:val="24"/>
        </w:rPr>
        <w:t xml:space="preserve"> for political agendas</w:t>
      </w:r>
      <w:r w:rsidR="002504CF" w:rsidRPr="00D23B8F">
        <w:rPr>
          <w:rFonts w:cstheme="minorHAnsi"/>
          <w:sz w:val="24"/>
          <w:szCs w:val="24"/>
        </w:rPr>
        <w:t xml:space="preserve"> has</w:t>
      </w:r>
      <w:r w:rsidRPr="00D23B8F">
        <w:rPr>
          <w:rFonts w:cstheme="minorHAnsi"/>
          <w:sz w:val="24"/>
          <w:szCs w:val="24"/>
        </w:rPr>
        <w:t xml:space="preserve"> found a particular resonance with the advent of </w:t>
      </w:r>
      <w:r w:rsidR="00EA5822">
        <w:rPr>
          <w:rFonts w:cstheme="minorHAnsi"/>
          <w:sz w:val="24"/>
          <w:szCs w:val="24"/>
        </w:rPr>
        <w:t>‘</w:t>
      </w:r>
      <w:r w:rsidRPr="00D23B8F">
        <w:rPr>
          <w:rFonts w:cstheme="minorHAnsi"/>
          <w:sz w:val="24"/>
          <w:szCs w:val="24"/>
        </w:rPr>
        <w:t>league tables</w:t>
      </w:r>
      <w:r w:rsidR="00EA5822">
        <w:rPr>
          <w:rFonts w:cstheme="minorHAnsi"/>
          <w:sz w:val="24"/>
          <w:szCs w:val="24"/>
        </w:rPr>
        <w:t>’</w:t>
      </w:r>
      <w:r w:rsidRPr="00D23B8F">
        <w:rPr>
          <w:rFonts w:cstheme="minorHAnsi"/>
          <w:sz w:val="24"/>
          <w:szCs w:val="24"/>
        </w:rPr>
        <w:t xml:space="preserve"> and comparative indicators </w:t>
      </w:r>
      <w:r w:rsidRPr="00D23B8F">
        <w:rPr>
          <w:rFonts w:cstheme="minorHAnsi"/>
          <w:noProof/>
          <w:sz w:val="24"/>
          <w:szCs w:val="24"/>
        </w:rPr>
        <w:t>(Broadbent 2004</w:t>
      </w:r>
      <w:r w:rsidR="00BE5645">
        <w:rPr>
          <w:rFonts w:cstheme="minorHAnsi"/>
          <w:noProof/>
          <w:sz w:val="24"/>
          <w:szCs w:val="24"/>
        </w:rPr>
        <w:t>:</w:t>
      </w:r>
      <w:r w:rsidRPr="00D23B8F">
        <w:rPr>
          <w:rFonts w:cstheme="minorHAnsi"/>
          <w:noProof/>
          <w:sz w:val="24"/>
          <w:szCs w:val="24"/>
        </w:rPr>
        <w:t xml:space="preserve"> 4)</w:t>
      </w:r>
      <w:r w:rsidRPr="00D23B8F">
        <w:rPr>
          <w:rFonts w:cstheme="minorHAnsi"/>
          <w:sz w:val="24"/>
          <w:szCs w:val="24"/>
        </w:rPr>
        <w:t xml:space="preserve">.  Yet such data are often produced and presented in ways that many authoritative sources find dubious </w:t>
      </w:r>
      <w:r w:rsidRPr="00D23B8F">
        <w:rPr>
          <w:rFonts w:cstheme="minorHAnsi"/>
          <w:noProof/>
          <w:sz w:val="24"/>
          <w:szCs w:val="24"/>
        </w:rPr>
        <w:t>(Adelman,</w:t>
      </w:r>
      <w:r w:rsidR="00EA0340">
        <w:rPr>
          <w:rFonts w:cstheme="minorHAnsi"/>
          <w:noProof/>
          <w:sz w:val="24"/>
          <w:szCs w:val="24"/>
        </w:rPr>
        <w:t xml:space="preserve"> </w:t>
      </w:r>
      <w:r w:rsidRPr="00D23B8F">
        <w:rPr>
          <w:rFonts w:cstheme="minorHAnsi"/>
          <w:noProof/>
          <w:sz w:val="24"/>
          <w:szCs w:val="24"/>
        </w:rPr>
        <w:t>2010</w:t>
      </w:r>
      <w:r w:rsidR="00BE5645">
        <w:rPr>
          <w:rFonts w:cstheme="minorHAnsi"/>
          <w:noProof/>
          <w:sz w:val="24"/>
          <w:szCs w:val="24"/>
        </w:rPr>
        <w:t>:</w:t>
      </w:r>
      <w:r w:rsidRPr="00D23B8F">
        <w:rPr>
          <w:rFonts w:cstheme="minorHAnsi"/>
          <w:noProof/>
          <w:sz w:val="24"/>
          <w:szCs w:val="24"/>
        </w:rPr>
        <w:t>1)</w:t>
      </w:r>
      <w:r w:rsidRPr="00D23B8F">
        <w:rPr>
          <w:rFonts w:cstheme="minorHAnsi"/>
          <w:sz w:val="24"/>
          <w:szCs w:val="24"/>
        </w:rPr>
        <w:t xml:space="preserve">.  In the Australian higher education sector many similar issues emerge but have not been </w:t>
      </w:r>
      <w:r w:rsidRPr="00D23B8F">
        <w:rPr>
          <w:rFonts w:cstheme="minorHAnsi"/>
          <w:sz w:val="24"/>
          <w:szCs w:val="24"/>
        </w:rPr>
        <w:lastRenderedPageBreak/>
        <w:t>systematically addressed until recently (</w:t>
      </w:r>
      <w:r w:rsidR="006C226B" w:rsidRPr="00D23B8F">
        <w:rPr>
          <w:rFonts w:cstheme="minorHAnsi"/>
          <w:sz w:val="24"/>
          <w:szCs w:val="24"/>
        </w:rPr>
        <w:t xml:space="preserve">Wilks </w:t>
      </w:r>
      <w:r w:rsidR="00BE5645">
        <w:rPr>
          <w:rFonts w:cstheme="minorHAnsi"/>
          <w:sz w:val="24"/>
          <w:szCs w:val="24"/>
        </w:rPr>
        <w:t>and</w:t>
      </w:r>
      <w:r w:rsidR="00BE5645" w:rsidRPr="00D23B8F">
        <w:rPr>
          <w:rFonts w:cstheme="minorHAnsi"/>
          <w:sz w:val="24"/>
          <w:szCs w:val="24"/>
        </w:rPr>
        <w:t xml:space="preserve"> </w:t>
      </w:r>
      <w:r w:rsidR="006C226B" w:rsidRPr="00D23B8F">
        <w:rPr>
          <w:rFonts w:cstheme="minorHAnsi"/>
          <w:sz w:val="24"/>
          <w:szCs w:val="24"/>
        </w:rPr>
        <w:t xml:space="preserve">Wilson 2015; </w:t>
      </w:r>
      <w:r w:rsidRPr="00D23B8F">
        <w:rPr>
          <w:rFonts w:cstheme="minorHAnsi"/>
          <w:sz w:val="24"/>
          <w:szCs w:val="24"/>
        </w:rPr>
        <w:t>Kinnane, Wilks, Wilson, Hughes</w:t>
      </w:r>
      <w:r w:rsidR="00BE5645">
        <w:rPr>
          <w:rFonts w:cstheme="minorHAnsi"/>
          <w:sz w:val="24"/>
          <w:szCs w:val="24"/>
        </w:rPr>
        <w:t xml:space="preserve"> and</w:t>
      </w:r>
      <w:r w:rsidRPr="00D23B8F">
        <w:rPr>
          <w:rFonts w:cstheme="minorHAnsi"/>
          <w:sz w:val="24"/>
          <w:szCs w:val="24"/>
        </w:rPr>
        <w:t xml:space="preserve"> Thomas 2014; Phillips KPA 2012).  </w:t>
      </w:r>
    </w:p>
    <w:p w14:paraId="09C26136" w14:textId="79888937" w:rsidR="00D252EA" w:rsidRDefault="004D32C8" w:rsidP="008F7D17">
      <w:pPr>
        <w:spacing w:line="480" w:lineRule="auto"/>
        <w:rPr>
          <w:rFonts w:ascii="AdvTTec369687" w:hAnsi="AdvTTec369687" w:cs="AdvTTec369687"/>
          <w:color w:val="000000"/>
          <w:sz w:val="23"/>
          <w:szCs w:val="23"/>
        </w:rPr>
      </w:pPr>
      <w:r>
        <w:rPr>
          <w:rFonts w:ascii="Times New Roman" w:hAnsi="Times New Roman" w:cs="Times New Roman"/>
          <w:sz w:val="24"/>
          <w:szCs w:val="24"/>
        </w:rPr>
        <w:t xml:space="preserve">Walter </w:t>
      </w:r>
      <w:r>
        <w:rPr>
          <w:rFonts w:ascii="Times New Roman" w:hAnsi="Times New Roman" w:cs="Times New Roman"/>
          <w:noProof/>
          <w:sz w:val="24"/>
          <w:szCs w:val="24"/>
        </w:rPr>
        <w:t>(2010)</w:t>
      </w:r>
      <w:r>
        <w:rPr>
          <w:rFonts w:ascii="Times New Roman" w:hAnsi="Times New Roman" w:cs="Times New Roman"/>
          <w:sz w:val="24"/>
          <w:szCs w:val="24"/>
        </w:rPr>
        <w:t xml:space="preserve"> identifies the embeddedness of </w:t>
      </w:r>
      <w:r w:rsidR="000E10FC">
        <w:rPr>
          <w:rFonts w:ascii="Times New Roman" w:hAnsi="Times New Roman" w:cs="Times New Roman"/>
          <w:sz w:val="24"/>
          <w:szCs w:val="24"/>
        </w:rPr>
        <w:t>‘</w:t>
      </w:r>
      <w:r>
        <w:rPr>
          <w:rFonts w:ascii="Times New Roman" w:hAnsi="Times New Roman" w:cs="Times New Roman"/>
          <w:sz w:val="24"/>
          <w:szCs w:val="24"/>
        </w:rPr>
        <w:t>racial capital</w:t>
      </w:r>
      <w:r w:rsidR="000E10FC">
        <w:rPr>
          <w:rFonts w:ascii="Times New Roman" w:hAnsi="Times New Roman" w:cs="Times New Roman"/>
          <w:sz w:val="24"/>
          <w:szCs w:val="24"/>
        </w:rPr>
        <w:t>’</w:t>
      </w:r>
      <w:r>
        <w:rPr>
          <w:rFonts w:ascii="Times New Roman" w:hAnsi="Times New Roman" w:cs="Times New Roman"/>
          <w:sz w:val="24"/>
          <w:szCs w:val="24"/>
        </w:rPr>
        <w:t xml:space="preserve"> (48) and the </w:t>
      </w:r>
      <w:r w:rsidR="000E10FC">
        <w:rPr>
          <w:rFonts w:ascii="Times New Roman" w:hAnsi="Times New Roman" w:cs="Times New Roman"/>
          <w:sz w:val="24"/>
          <w:szCs w:val="24"/>
        </w:rPr>
        <w:t>‘</w:t>
      </w:r>
      <w:r>
        <w:rPr>
          <w:rFonts w:ascii="Times New Roman" w:hAnsi="Times New Roman" w:cs="Times New Roman"/>
          <w:sz w:val="24"/>
          <w:szCs w:val="24"/>
        </w:rPr>
        <w:t>presumptive objectivity</w:t>
      </w:r>
      <w:r w:rsidR="000E10FC">
        <w:rPr>
          <w:rFonts w:ascii="Times New Roman" w:hAnsi="Times New Roman" w:cs="Times New Roman"/>
          <w:sz w:val="24"/>
          <w:szCs w:val="24"/>
        </w:rPr>
        <w:t>’</w:t>
      </w:r>
      <w:r>
        <w:rPr>
          <w:rFonts w:ascii="Times New Roman" w:hAnsi="Times New Roman" w:cs="Times New Roman"/>
          <w:sz w:val="24"/>
          <w:szCs w:val="24"/>
        </w:rPr>
        <w:t xml:space="preserve"> (53) in the collection of data relating to Aboriginal and Torres Strait Islander peoples in Australia.</w:t>
      </w:r>
      <w:r w:rsidR="0059049C">
        <w:rPr>
          <w:rFonts w:ascii="Times New Roman" w:hAnsi="Times New Roman" w:cs="Times New Roman"/>
          <w:sz w:val="24"/>
          <w:szCs w:val="24"/>
        </w:rPr>
        <w:t xml:space="preserve"> One example being the p</w:t>
      </w:r>
      <w:r w:rsidRPr="00BF7755">
        <w:rPr>
          <w:rFonts w:ascii="Times New Roman" w:hAnsi="Times New Roman" w:cs="Times New Roman"/>
          <w:sz w:val="24"/>
          <w:szCs w:val="24"/>
        </w:rPr>
        <w:t>roblems</w:t>
      </w:r>
      <w:r>
        <w:rPr>
          <w:rFonts w:ascii="Times New Roman" w:hAnsi="Times New Roman" w:cs="Times New Roman"/>
          <w:sz w:val="24"/>
          <w:szCs w:val="24"/>
        </w:rPr>
        <w:t xml:space="preserve"> </w:t>
      </w:r>
      <w:r w:rsidR="00D252EA">
        <w:rPr>
          <w:rFonts w:ascii="Times New Roman" w:hAnsi="Times New Roman" w:cs="Times New Roman"/>
          <w:sz w:val="24"/>
          <w:szCs w:val="24"/>
        </w:rPr>
        <w:t xml:space="preserve">that </w:t>
      </w:r>
      <w:r>
        <w:rPr>
          <w:rFonts w:ascii="Times New Roman" w:hAnsi="Times New Roman" w:cs="Times New Roman"/>
          <w:sz w:val="24"/>
          <w:szCs w:val="24"/>
        </w:rPr>
        <w:lastRenderedPageBreak/>
        <w:t>can</w:t>
      </w:r>
      <w:r w:rsidRPr="00BF7755">
        <w:rPr>
          <w:rFonts w:ascii="Times New Roman" w:hAnsi="Times New Roman" w:cs="Times New Roman"/>
          <w:sz w:val="24"/>
          <w:szCs w:val="24"/>
        </w:rPr>
        <w:t xml:space="preserve"> aris</w:t>
      </w:r>
      <w:r>
        <w:rPr>
          <w:rFonts w:ascii="Times New Roman" w:hAnsi="Times New Roman" w:cs="Times New Roman"/>
          <w:sz w:val="24"/>
          <w:szCs w:val="24"/>
        </w:rPr>
        <w:t>e</w:t>
      </w:r>
      <w:r w:rsidRPr="00BF7755">
        <w:rPr>
          <w:rFonts w:ascii="Times New Roman" w:hAnsi="Times New Roman" w:cs="Times New Roman"/>
          <w:sz w:val="24"/>
          <w:szCs w:val="24"/>
        </w:rPr>
        <w:t xml:space="preserve"> from data aggregation because of </w:t>
      </w:r>
      <w:r>
        <w:rPr>
          <w:rFonts w:ascii="Times New Roman" w:hAnsi="Times New Roman" w:cs="Times New Roman"/>
          <w:sz w:val="24"/>
          <w:szCs w:val="24"/>
        </w:rPr>
        <w:t xml:space="preserve">the often </w:t>
      </w:r>
      <w:r w:rsidRPr="00BF7755">
        <w:rPr>
          <w:rFonts w:ascii="Times New Roman" w:hAnsi="Times New Roman" w:cs="Times New Roman"/>
          <w:sz w:val="24"/>
          <w:szCs w:val="24"/>
        </w:rPr>
        <w:t>small samples, and</w:t>
      </w:r>
      <w:r>
        <w:rPr>
          <w:rFonts w:ascii="Times New Roman" w:hAnsi="Times New Roman" w:cs="Times New Roman"/>
          <w:sz w:val="24"/>
          <w:szCs w:val="24"/>
        </w:rPr>
        <w:t xml:space="preserve"> the relatively </w:t>
      </w:r>
      <w:r w:rsidRPr="00BF7755">
        <w:rPr>
          <w:rFonts w:ascii="Times New Roman" w:hAnsi="Times New Roman" w:cs="Times New Roman"/>
          <w:sz w:val="24"/>
          <w:szCs w:val="24"/>
        </w:rPr>
        <w:t>small numbers of Aboriginal and Torres Strait Islander peoples living in re</w:t>
      </w:r>
      <w:r>
        <w:rPr>
          <w:rFonts w:ascii="Times New Roman" w:hAnsi="Times New Roman" w:cs="Times New Roman"/>
          <w:sz w:val="24"/>
          <w:szCs w:val="24"/>
        </w:rPr>
        <w:t>mote locations that can render</w:t>
      </w:r>
      <w:r w:rsidRPr="00BF7755">
        <w:rPr>
          <w:rFonts w:ascii="Times New Roman" w:hAnsi="Times New Roman" w:cs="Times New Roman"/>
          <w:sz w:val="24"/>
          <w:szCs w:val="24"/>
        </w:rPr>
        <w:t xml:space="preserve"> analyses</w:t>
      </w:r>
      <w:r w:rsidR="00D252EA">
        <w:rPr>
          <w:rFonts w:ascii="Times New Roman" w:hAnsi="Times New Roman" w:cs="Times New Roman"/>
          <w:sz w:val="24"/>
          <w:szCs w:val="24"/>
        </w:rPr>
        <w:t xml:space="preserve"> vulnerable to claims of being</w:t>
      </w:r>
      <w:r w:rsidRPr="00BF7755">
        <w:rPr>
          <w:rFonts w:ascii="Times New Roman" w:hAnsi="Times New Roman" w:cs="Times New Roman"/>
          <w:sz w:val="24"/>
          <w:szCs w:val="24"/>
        </w:rPr>
        <w:t xml:space="preserve"> </w:t>
      </w:r>
      <w:r w:rsidR="000E10FC">
        <w:rPr>
          <w:rFonts w:ascii="Times New Roman" w:hAnsi="Times New Roman" w:cs="Times New Roman"/>
          <w:sz w:val="24"/>
          <w:szCs w:val="24"/>
        </w:rPr>
        <w:t>‘</w:t>
      </w:r>
      <w:r w:rsidRPr="00BF7755">
        <w:rPr>
          <w:rFonts w:ascii="Times New Roman" w:hAnsi="Times New Roman" w:cs="Times New Roman"/>
          <w:sz w:val="24"/>
          <w:szCs w:val="24"/>
        </w:rPr>
        <w:t xml:space="preserve">unreliable and </w:t>
      </w:r>
      <w:r>
        <w:rPr>
          <w:rFonts w:ascii="Times New Roman" w:hAnsi="Times New Roman" w:cs="Times New Roman"/>
          <w:sz w:val="24"/>
          <w:szCs w:val="24"/>
        </w:rPr>
        <w:t>not generalisable</w:t>
      </w:r>
      <w:r w:rsidR="000E10FC">
        <w:rPr>
          <w:rFonts w:ascii="Times New Roman" w:hAnsi="Times New Roman" w:cs="Times New Roman"/>
          <w:sz w:val="24"/>
          <w:szCs w:val="24"/>
        </w:rPr>
        <w:t>’</w:t>
      </w:r>
      <w:r w:rsidRPr="00BF7755">
        <w:rPr>
          <w:rFonts w:ascii="Times New Roman" w:hAnsi="Times New Roman" w:cs="Times New Roman"/>
          <w:sz w:val="24"/>
          <w:szCs w:val="24"/>
        </w:rPr>
        <w:t xml:space="preserve"> (Walter, 2010</w:t>
      </w:r>
      <w:r w:rsidR="00380C34">
        <w:rPr>
          <w:rFonts w:ascii="Times New Roman" w:hAnsi="Times New Roman" w:cs="Times New Roman"/>
          <w:sz w:val="24"/>
          <w:szCs w:val="24"/>
        </w:rPr>
        <w:t xml:space="preserve">: </w:t>
      </w:r>
      <w:r w:rsidRPr="00BF7755">
        <w:rPr>
          <w:rFonts w:ascii="Times New Roman" w:hAnsi="Times New Roman" w:cs="Times New Roman"/>
          <w:sz w:val="24"/>
          <w:szCs w:val="24"/>
        </w:rPr>
        <w:t xml:space="preserve">46). </w:t>
      </w:r>
      <w:r w:rsidR="00D252EA" w:rsidRPr="00BF7755">
        <w:rPr>
          <w:rFonts w:ascii="Times New Roman" w:hAnsi="Times New Roman" w:cs="Times New Roman"/>
          <w:noProof/>
          <w:sz w:val="24"/>
          <w:szCs w:val="24"/>
        </w:rPr>
        <w:t>Moreton-Robinson</w:t>
      </w:r>
      <w:r w:rsidR="00D252EA">
        <w:rPr>
          <w:rFonts w:ascii="Times New Roman" w:hAnsi="Times New Roman" w:cs="Times New Roman"/>
          <w:noProof/>
          <w:sz w:val="24"/>
          <w:szCs w:val="24"/>
        </w:rPr>
        <w:t xml:space="preserve">, Walter, Singh and Kimber </w:t>
      </w:r>
      <w:r w:rsidR="002E311C">
        <w:rPr>
          <w:rFonts w:ascii="Times New Roman" w:hAnsi="Times New Roman" w:cs="Times New Roman"/>
          <w:noProof/>
          <w:sz w:val="24"/>
          <w:szCs w:val="24"/>
        </w:rPr>
        <w:t xml:space="preserve">(2011) </w:t>
      </w:r>
      <w:r w:rsidR="00D252EA">
        <w:rPr>
          <w:rFonts w:ascii="Times New Roman" w:hAnsi="Times New Roman" w:cs="Times New Roman"/>
          <w:noProof/>
          <w:sz w:val="24"/>
          <w:szCs w:val="24"/>
        </w:rPr>
        <w:t xml:space="preserve">recommended a reporting template that measures </w:t>
      </w:r>
      <w:r w:rsidR="00D252EA" w:rsidRPr="00AE780A">
        <w:rPr>
          <w:rFonts w:ascii="Times New Roman" w:hAnsi="Times New Roman" w:cs="Times New Roman"/>
          <w:noProof/>
          <w:sz w:val="24"/>
          <w:szCs w:val="24"/>
        </w:rPr>
        <w:t xml:space="preserve">percentages of </w:t>
      </w:r>
      <w:r w:rsidR="00D252EA" w:rsidRPr="00AE780A">
        <w:rPr>
          <w:rFonts w:ascii="Times New Roman" w:hAnsi="Times New Roman" w:cs="Times New Roman"/>
          <w:noProof/>
          <w:sz w:val="24"/>
          <w:szCs w:val="24"/>
        </w:rPr>
        <w:lastRenderedPageBreak/>
        <w:t xml:space="preserve">Aboriginal and Torres Strait Islander students </w:t>
      </w:r>
      <w:r w:rsidR="00D252EA">
        <w:rPr>
          <w:rFonts w:ascii="Times New Roman" w:hAnsi="Times New Roman" w:cs="Times New Roman"/>
          <w:noProof/>
          <w:sz w:val="24"/>
          <w:szCs w:val="24"/>
        </w:rPr>
        <w:t>against</w:t>
      </w:r>
      <w:r w:rsidR="00D252EA" w:rsidRPr="00AE780A">
        <w:rPr>
          <w:rFonts w:ascii="Times New Roman" w:hAnsi="Times New Roman" w:cs="Times New Roman"/>
          <w:noProof/>
          <w:sz w:val="24"/>
          <w:szCs w:val="24"/>
        </w:rPr>
        <w:t xml:space="preserve"> the size of the Indigenous population in the university’s home state</w:t>
      </w:r>
      <w:r w:rsidR="00D252EA">
        <w:rPr>
          <w:rFonts w:ascii="Times New Roman" w:hAnsi="Times New Roman" w:cs="Times New Roman"/>
          <w:noProof/>
          <w:sz w:val="24"/>
          <w:szCs w:val="24"/>
        </w:rPr>
        <w:t>, rather than nationally</w:t>
      </w:r>
      <w:r w:rsidR="00380C34">
        <w:rPr>
          <w:rFonts w:ascii="Times New Roman" w:hAnsi="Times New Roman" w:cs="Times New Roman"/>
          <w:noProof/>
          <w:sz w:val="24"/>
          <w:szCs w:val="24"/>
        </w:rPr>
        <w:t>,</w:t>
      </w:r>
      <w:r w:rsidR="00D252EA">
        <w:rPr>
          <w:rFonts w:ascii="Times New Roman" w:hAnsi="Times New Roman" w:cs="Times New Roman"/>
          <w:noProof/>
          <w:sz w:val="24"/>
          <w:szCs w:val="24"/>
        </w:rPr>
        <w:t xml:space="preserve"> and to be monitored by an Indigenous higher education body in order to provide clearer population parity (40).</w:t>
      </w:r>
    </w:p>
    <w:p w14:paraId="0117FAD6" w14:textId="77777777" w:rsidR="004D32C8" w:rsidRPr="00C117F2" w:rsidRDefault="004D32C8" w:rsidP="008F7D17">
      <w:pPr>
        <w:autoSpaceDE w:val="0"/>
        <w:autoSpaceDN w:val="0"/>
        <w:adjustRightInd w:val="0"/>
        <w:spacing w:after="0" w:line="360" w:lineRule="auto"/>
        <w:rPr>
          <w:sz w:val="24"/>
          <w:szCs w:val="24"/>
        </w:rPr>
      </w:pPr>
    </w:p>
    <w:p w14:paraId="32E56913" w14:textId="16D17F52" w:rsidR="000D3C5C" w:rsidRPr="00D23B8F" w:rsidRDefault="00B208C8" w:rsidP="008B1F03">
      <w:pPr>
        <w:spacing w:after="0" w:line="480" w:lineRule="auto"/>
        <w:rPr>
          <w:rFonts w:cstheme="minorHAnsi"/>
          <w:sz w:val="24"/>
          <w:szCs w:val="24"/>
        </w:rPr>
      </w:pPr>
      <w:r w:rsidRPr="00D23B8F">
        <w:rPr>
          <w:rFonts w:cstheme="minorHAnsi"/>
          <w:sz w:val="24"/>
          <w:szCs w:val="24"/>
        </w:rPr>
        <w:lastRenderedPageBreak/>
        <w:t xml:space="preserve">Data collection in higher education </w:t>
      </w:r>
      <w:r w:rsidR="000E10FC">
        <w:rPr>
          <w:rFonts w:cstheme="minorHAnsi"/>
          <w:sz w:val="24"/>
          <w:szCs w:val="24"/>
        </w:rPr>
        <w:t>‘</w:t>
      </w:r>
      <w:r w:rsidRPr="00D23B8F">
        <w:rPr>
          <w:rFonts w:cstheme="minorHAnsi"/>
          <w:sz w:val="24"/>
          <w:szCs w:val="24"/>
        </w:rPr>
        <w:t xml:space="preserve">has evolved over the years in a somewhat haphazard way with little formal planning, subject only to occasional, </w:t>
      </w:r>
      <w:r w:rsidRPr="00D23B8F">
        <w:rPr>
          <w:rFonts w:cstheme="minorHAnsi"/>
          <w:i/>
          <w:iCs/>
          <w:sz w:val="24"/>
          <w:szCs w:val="24"/>
        </w:rPr>
        <w:t>ad hoc</w:t>
      </w:r>
      <w:r w:rsidRPr="00D23B8F">
        <w:rPr>
          <w:rFonts w:cstheme="minorHAnsi"/>
          <w:sz w:val="24"/>
          <w:szCs w:val="24"/>
        </w:rPr>
        <w:t xml:space="preserve"> reviews</w:t>
      </w:r>
      <w:r w:rsidR="000E10FC">
        <w:rPr>
          <w:rFonts w:cstheme="minorHAnsi"/>
          <w:sz w:val="24"/>
          <w:szCs w:val="24"/>
        </w:rPr>
        <w:t>’</w:t>
      </w:r>
      <w:r w:rsidRPr="00D23B8F">
        <w:rPr>
          <w:rFonts w:cstheme="minorHAnsi"/>
          <w:sz w:val="24"/>
          <w:szCs w:val="24"/>
        </w:rPr>
        <w:t xml:space="preserve"> (Phillips KPA 2012</w:t>
      </w:r>
      <w:r w:rsidR="00F12FC1">
        <w:rPr>
          <w:rFonts w:cstheme="minorHAnsi"/>
          <w:sz w:val="24"/>
          <w:szCs w:val="24"/>
        </w:rPr>
        <w:t>:</w:t>
      </w:r>
      <w:r w:rsidRPr="00D23B8F">
        <w:rPr>
          <w:rFonts w:cstheme="minorHAnsi"/>
          <w:sz w:val="24"/>
          <w:szCs w:val="24"/>
        </w:rPr>
        <w:t xml:space="preserve"> 71).  </w:t>
      </w:r>
      <w:r w:rsidR="00A759FE" w:rsidRPr="00D23B8F">
        <w:rPr>
          <w:rFonts w:cstheme="minorHAnsi"/>
          <w:sz w:val="24"/>
          <w:szCs w:val="24"/>
        </w:rPr>
        <w:t>In the following</w:t>
      </w:r>
      <w:r w:rsidR="0099599E" w:rsidRPr="00D23B8F">
        <w:rPr>
          <w:rFonts w:cstheme="minorHAnsi"/>
          <w:sz w:val="24"/>
          <w:szCs w:val="24"/>
        </w:rPr>
        <w:t xml:space="preserve"> discussion</w:t>
      </w:r>
      <w:r w:rsidR="00A759FE" w:rsidRPr="00D23B8F">
        <w:rPr>
          <w:rFonts w:cstheme="minorHAnsi"/>
          <w:sz w:val="24"/>
          <w:szCs w:val="24"/>
        </w:rPr>
        <w:t xml:space="preserve"> we question the extent to which statistics are accurate, reliable and valid in the mathematical or statistical sense but also, and importantly, their validity, reliability and representativeness in </w:t>
      </w:r>
      <w:r w:rsidR="00A759FE" w:rsidRPr="00D23B8F">
        <w:rPr>
          <w:rFonts w:cstheme="minorHAnsi"/>
          <w:sz w:val="24"/>
          <w:szCs w:val="24"/>
        </w:rPr>
        <w:lastRenderedPageBreak/>
        <w:t>Aboriginal and Torres Strait Islander cultural contexts.  W</w:t>
      </w:r>
      <w:r w:rsidR="0001006E" w:rsidRPr="00D23B8F">
        <w:rPr>
          <w:rFonts w:cstheme="minorHAnsi"/>
          <w:sz w:val="24"/>
          <w:szCs w:val="24"/>
        </w:rPr>
        <w:t xml:space="preserve">e identify, summarise and analyse the main statistical and data quality </w:t>
      </w:r>
      <w:r w:rsidR="006C226B" w:rsidRPr="00D23B8F">
        <w:rPr>
          <w:rFonts w:cstheme="minorHAnsi"/>
          <w:sz w:val="24"/>
          <w:szCs w:val="24"/>
        </w:rPr>
        <w:t>challenges</w:t>
      </w:r>
      <w:r w:rsidR="0001006E" w:rsidRPr="00D23B8F">
        <w:rPr>
          <w:rFonts w:cstheme="minorHAnsi"/>
          <w:sz w:val="24"/>
          <w:szCs w:val="24"/>
        </w:rPr>
        <w:t xml:space="preserve"> in higher education with a particular focus on Aboriginal and Torres Strait Islander people; and </w:t>
      </w:r>
      <w:r w:rsidR="00A759FE" w:rsidRPr="00D23B8F">
        <w:rPr>
          <w:rFonts w:cstheme="minorHAnsi"/>
          <w:sz w:val="24"/>
          <w:szCs w:val="24"/>
        </w:rPr>
        <w:t>finally we</w:t>
      </w:r>
      <w:r w:rsidR="0001006E" w:rsidRPr="00D23B8F">
        <w:rPr>
          <w:rFonts w:cstheme="minorHAnsi"/>
          <w:sz w:val="24"/>
          <w:szCs w:val="24"/>
        </w:rPr>
        <w:t xml:space="preserve"> offer</w:t>
      </w:r>
      <w:r w:rsidR="00792E2D" w:rsidRPr="00D23B8F">
        <w:rPr>
          <w:rFonts w:cstheme="minorHAnsi"/>
          <w:sz w:val="24"/>
          <w:szCs w:val="24"/>
        </w:rPr>
        <w:t xml:space="preserve"> </w:t>
      </w:r>
      <w:r w:rsidR="004C6574" w:rsidRPr="00D23B8F">
        <w:rPr>
          <w:rFonts w:cstheme="minorHAnsi"/>
          <w:sz w:val="24"/>
          <w:szCs w:val="24"/>
        </w:rPr>
        <w:t>a conceptual framework</w:t>
      </w:r>
      <w:r w:rsidR="0001006E" w:rsidRPr="00D23B8F">
        <w:rPr>
          <w:rFonts w:cstheme="minorHAnsi"/>
          <w:sz w:val="24"/>
          <w:szCs w:val="24"/>
        </w:rPr>
        <w:t xml:space="preserve"> for </w:t>
      </w:r>
      <w:r w:rsidR="004C6574" w:rsidRPr="00D23B8F">
        <w:rPr>
          <w:rFonts w:cstheme="minorHAnsi"/>
          <w:sz w:val="24"/>
          <w:szCs w:val="24"/>
        </w:rPr>
        <w:t xml:space="preserve">understanding and analysing </w:t>
      </w:r>
      <w:r w:rsidR="0001006E" w:rsidRPr="00D23B8F">
        <w:rPr>
          <w:rFonts w:cstheme="minorHAnsi"/>
          <w:sz w:val="24"/>
          <w:szCs w:val="24"/>
        </w:rPr>
        <w:t xml:space="preserve">Aboriginal and Torres Strait Islander higher </w:t>
      </w:r>
      <w:r w:rsidR="0001006E" w:rsidRPr="00D23B8F">
        <w:rPr>
          <w:rFonts w:cstheme="minorHAnsi"/>
          <w:sz w:val="24"/>
          <w:szCs w:val="24"/>
        </w:rPr>
        <w:lastRenderedPageBreak/>
        <w:t xml:space="preserve">education data and statistics.  </w:t>
      </w:r>
      <w:r w:rsidR="000D3C5C" w:rsidRPr="00D23B8F">
        <w:rPr>
          <w:rFonts w:cstheme="minorHAnsi"/>
          <w:sz w:val="24"/>
          <w:szCs w:val="24"/>
        </w:rPr>
        <w:t>It is proposed that th</w:t>
      </w:r>
      <w:r w:rsidR="006C226B" w:rsidRPr="00D23B8F">
        <w:rPr>
          <w:rFonts w:cstheme="minorHAnsi"/>
          <w:sz w:val="24"/>
          <w:szCs w:val="24"/>
        </w:rPr>
        <w:t>is</w:t>
      </w:r>
      <w:r w:rsidR="000D3C5C" w:rsidRPr="00D23B8F">
        <w:rPr>
          <w:rFonts w:cstheme="minorHAnsi"/>
          <w:sz w:val="24"/>
          <w:szCs w:val="24"/>
        </w:rPr>
        <w:t xml:space="preserve"> framework will aid clarity, analysis</w:t>
      </w:r>
      <w:r w:rsidR="00A759FE" w:rsidRPr="00D23B8F">
        <w:rPr>
          <w:rFonts w:cstheme="minorHAnsi"/>
          <w:sz w:val="24"/>
          <w:szCs w:val="24"/>
        </w:rPr>
        <w:t xml:space="preserve"> and</w:t>
      </w:r>
      <w:r w:rsidR="000D3C5C" w:rsidRPr="00D23B8F">
        <w:rPr>
          <w:rFonts w:cstheme="minorHAnsi"/>
          <w:sz w:val="24"/>
          <w:szCs w:val="24"/>
        </w:rPr>
        <w:t xml:space="preserve"> interpretation </w:t>
      </w:r>
      <w:r w:rsidR="00A759FE" w:rsidRPr="00D23B8F">
        <w:rPr>
          <w:rFonts w:cstheme="minorHAnsi"/>
          <w:sz w:val="24"/>
          <w:szCs w:val="24"/>
        </w:rPr>
        <w:t xml:space="preserve">of data </w:t>
      </w:r>
      <w:r w:rsidR="000D3C5C" w:rsidRPr="00D23B8F">
        <w:rPr>
          <w:rFonts w:cstheme="minorHAnsi"/>
          <w:sz w:val="24"/>
          <w:szCs w:val="24"/>
        </w:rPr>
        <w:t>and importantly</w:t>
      </w:r>
      <w:r w:rsidR="00A759FE" w:rsidRPr="00D23B8F">
        <w:rPr>
          <w:rFonts w:cstheme="minorHAnsi"/>
          <w:sz w:val="24"/>
          <w:szCs w:val="24"/>
        </w:rPr>
        <w:t>,</w:t>
      </w:r>
      <w:r w:rsidR="000D3C5C" w:rsidRPr="00D23B8F">
        <w:rPr>
          <w:rFonts w:cstheme="minorHAnsi"/>
          <w:sz w:val="24"/>
          <w:szCs w:val="24"/>
        </w:rPr>
        <w:t xml:space="preserve"> provide a way forward for institutions to resolve t</w:t>
      </w:r>
      <w:r w:rsidR="003A1AC4" w:rsidRPr="00D23B8F">
        <w:rPr>
          <w:rFonts w:cstheme="minorHAnsi"/>
          <w:sz w:val="24"/>
          <w:szCs w:val="24"/>
        </w:rPr>
        <w:t xml:space="preserve">he challenges identified in </w:t>
      </w:r>
      <w:r w:rsidR="000D3C5C" w:rsidRPr="00D23B8F">
        <w:rPr>
          <w:rFonts w:cstheme="minorHAnsi"/>
          <w:sz w:val="24"/>
          <w:szCs w:val="24"/>
        </w:rPr>
        <w:t xml:space="preserve">this paper.  </w:t>
      </w:r>
      <w:r w:rsidR="004021F6" w:rsidRPr="00D23B8F">
        <w:rPr>
          <w:rFonts w:cstheme="minorHAnsi"/>
          <w:sz w:val="24"/>
          <w:szCs w:val="24"/>
        </w:rPr>
        <w:t xml:space="preserve">Ultimately, our aim is to begin a conversation whereby a set of </w:t>
      </w:r>
      <w:r w:rsidR="00601D6E" w:rsidRPr="00D23B8F">
        <w:rPr>
          <w:rFonts w:cstheme="minorHAnsi"/>
          <w:sz w:val="24"/>
          <w:szCs w:val="24"/>
        </w:rPr>
        <w:t xml:space="preserve">data quality </w:t>
      </w:r>
      <w:r w:rsidR="004021F6" w:rsidRPr="00D23B8F">
        <w:rPr>
          <w:rFonts w:cstheme="minorHAnsi"/>
          <w:sz w:val="24"/>
          <w:szCs w:val="24"/>
        </w:rPr>
        <w:t>princi</w:t>
      </w:r>
      <w:r w:rsidR="00601D6E" w:rsidRPr="00D23B8F">
        <w:rPr>
          <w:rFonts w:cstheme="minorHAnsi"/>
          <w:sz w:val="24"/>
          <w:szCs w:val="24"/>
        </w:rPr>
        <w:t>ples and guidelines t</w:t>
      </w:r>
      <w:r w:rsidR="00A04DFA" w:rsidRPr="00D23B8F">
        <w:rPr>
          <w:rFonts w:cstheme="minorHAnsi"/>
          <w:sz w:val="24"/>
          <w:szCs w:val="24"/>
        </w:rPr>
        <w:t xml:space="preserve">o </w:t>
      </w:r>
      <w:r w:rsidR="00601D6E" w:rsidRPr="00D23B8F">
        <w:rPr>
          <w:rFonts w:cstheme="minorHAnsi"/>
          <w:sz w:val="24"/>
          <w:szCs w:val="24"/>
        </w:rPr>
        <w:t>inform</w:t>
      </w:r>
      <w:r w:rsidR="00A04DFA" w:rsidRPr="00D23B8F">
        <w:rPr>
          <w:rFonts w:cstheme="minorHAnsi"/>
          <w:sz w:val="24"/>
          <w:szCs w:val="24"/>
        </w:rPr>
        <w:t xml:space="preserve"> policy and practice</w:t>
      </w:r>
      <w:r w:rsidR="00601D6E" w:rsidRPr="00D23B8F">
        <w:rPr>
          <w:rFonts w:cstheme="minorHAnsi"/>
          <w:sz w:val="24"/>
          <w:szCs w:val="24"/>
        </w:rPr>
        <w:t xml:space="preserve"> that balances</w:t>
      </w:r>
      <w:r w:rsidR="004021F6" w:rsidRPr="00D23B8F">
        <w:rPr>
          <w:rFonts w:cstheme="minorHAnsi"/>
          <w:sz w:val="24"/>
          <w:szCs w:val="24"/>
        </w:rPr>
        <w:t xml:space="preserve"> the data needs of Aboriginal and Torres </w:t>
      </w:r>
      <w:r w:rsidR="004021F6" w:rsidRPr="00D23B8F">
        <w:rPr>
          <w:rFonts w:cstheme="minorHAnsi"/>
          <w:sz w:val="24"/>
          <w:szCs w:val="24"/>
        </w:rPr>
        <w:lastRenderedPageBreak/>
        <w:t>Strait Islander peoples with those of the existing non-Indigenous instrumentalities</w:t>
      </w:r>
      <w:r w:rsidR="004021F6" w:rsidRPr="00D23B8F">
        <w:rPr>
          <w:rFonts w:cstheme="minorHAnsi"/>
          <w:b/>
          <w:sz w:val="24"/>
          <w:szCs w:val="24"/>
        </w:rPr>
        <w:t xml:space="preserve">.  </w:t>
      </w:r>
    </w:p>
    <w:p w14:paraId="25FCBBAF" w14:textId="77777777" w:rsidR="00393014" w:rsidRPr="00D23B8F" w:rsidRDefault="004021F6" w:rsidP="008B1F03">
      <w:pPr>
        <w:pStyle w:val="Heading1"/>
        <w:spacing w:line="480" w:lineRule="auto"/>
        <w:rPr>
          <w:rFonts w:asciiTheme="minorHAnsi" w:hAnsiTheme="minorHAnsi" w:cstheme="minorHAnsi"/>
        </w:rPr>
      </w:pPr>
      <w:r w:rsidRPr="00D23B8F">
        <w:rPr>
          <w:rFonts w:asciiTheme="minorHAnsi" w:hAnsiTheme="minorHAnsi" w:cstheme="minorHAnsi"/>
          <w:b w:val="0"/>
          <w:sz w:val="24"/>
          <w:szCs w:val="24"/>
        </w:rPr>
        <w:lastRenderedPageBreak/>
        <w:t xml:space="preserve"> </w:t>
      </w:r>
      <w:bookmarkStart w:id="1" w:name="_Toc276560123"/>
      <w:bookmarkStart w:id="2" w:name="_Toc418167427"/>
      <w:r w:rsidR="00393014" w:rsidRPr="00D23B8F">
        <w:rPr>
          <w:rFonts w:asciiTheme="minorHAnsi" w:hAnsiTheme="minorHAnsi" w:cstheme="minorHAnsi"/>
        </w:rPr>
        <w:t>Project approach</w:t>
      </w:r>
      <w:bookmarkEnd w:id="1"/>
      <w:bookmarkEnd w:id="2"/>
      <w:r w:rsidR="00C80B21" w:rsidRPr="00D23B8F">
        <w:rPr>
          <w:rStyle w:val="FootnoteReference"/>
          <w:rFonts w:asciiTheme="minorHAnsi" w:hAnsiTheme="minorHAnsi" w:cstheme="minorHAnsi"/>
        </w:rPr>
        <w:footnoteReference w:id="3"/>
      </w:r>
    </w:p>
    <w:p w14:paraId="6BB8E620" w14:textId="77777777" w:rsidR="00B00A69" w:rsidRPr="00D23B8F" w:rsidRDefault="00B00A69" w:rsidP="008B1F03">
      <w:pPr>
        <w:widowControl w:val="0"/>
        <w:suppressAutoHyphens/>
        <w:spacing w:after="0" w:line="480" w:lineRule="auto"/>
        <w:rPr>
          <w:rFonts w:cstheme="minorHAnsi"/>
        </w:rPr>
      </w:pPr>
      <w:r w:rsidRPr="00D23B8F">
        <w:rPr>
          <w:rFonts w:cstheme="minorHAnsi"/>
          <w:sz w:val="24"/>
          <w:szCs w:val="24"/>
        </w:rPr>
        <w:t xml:space="preserve">In this work we recognise Aboriginal and Torres Strait Islander sovereignty that values and privileges knowledges, voices and perspectives in research; and the importance of </w:t>
      </w:r>
      <w:r w:rsidRPr="00D23B8F">
        <w:rPr>
          <w:rFonts w:cstheme="minorHAnsi"/>
          <w:sz w:val="24"/>
          <w:szCs w:val="24"/>
        </w:rPr>
        <w:lastRenderedPageBreak/>
        <w:t xml:space="preserve">demonstrable community benefit flowing from research </w:t>
      </w:r>
      <w:r w:rsidRPr="00D23B8F">
        <w:rPr>
          <w:rFonts w:cstheme="minorHAnsi"/>
          <w:noProof/>
          <w:sz w:val="24"/>
          <w:szCs w:val="24"/>
        </w:rPr>
        <w:t xml:space="preserve">(Australian Institute of Aboriginal and Torres Strait Islander Studies 2012; Moreton-Robinson </w:t>
      </w:r>
      <w:r w:rsidR="00F12FC1">
        <w:rPr>
          <w:rFonts w:cstheme="minorHAnsi"/>
          <w:noProof/>
          <w:sz w:val="24"/>
          <w:szCs w:val="24"/>
        </w:rPr>
        <w:t>and</w:t>
      </w:r>
      <w:r w:rsidR="00F12FC1" w:rsidRPr="00D23B8F">
        <w:rPr>
          <w:rFonts w:cstheme="minorHAnsi"/>
          <w:noProof/>
          <w:sz w:val="24"/>
          <w:szCs w:val="24"/>
        </w:rPr>
        <w:t xml:space="preserve"> </w:t>
      </w:r>
      <w:r w:rsidRPr="00D23B8F">
        <w:rPr>
          <w:rFonts w:cstheme="minorHAnsi"/>
          <w:noProof/>
          <w:sz w:val="24"/>
          <w:szCs w:val="24"/>
        </w:rPr>
        <w:t>Walter 2009; Nakata 2007; National Health and Medical Research Council 2007; Smith 2012)</w:t>
      </w:r>
      <w:r w:rsidRPr="00D23B8F">
        <w:rPr>
          <w:rFonts w:cstheme="minorHAnsi"/>
        </w:rPr>
        <w:t xml:space="preserve">.  </w:t>
      </w:r>
    </w:p>
    <w:p w14:paraId="2F614F00" w14:textId="77777777" w:rsidR="00B00A69" w:rsidRPr="00D23B8F" w:rsidRDefault="00B00A69" w:rsidP="008B1F03">
      <w:pPr>
        <w:widowControl w:val="0"/>
        <w:suppressAutoHyphens/>
        <w:spacing w:after="0" w:line="480" w:lineRule="auto"/>
        <w:rPr>
          <w:rFonts w:cstheme="minorHAnsi"/>
        </w:rPr>
      </w:pPr>
    </w:p>
    <w:p w14:paraId="43208E7D" w14:textId="7E0E2821" w:rsidR="00393014" w:rsidRPr="00D23B8F" w:rsidRDefault="00393014" w:rsidP="008B1F03">
      <w:pPr>
        <w:widowControl w:val="0"/>
        <w:suppressAutoHyphens/>
        <w:spacing w:after="0" w:line="480" w:lineRule="auto"/>
        <w:rPr>
          <w:rFonts w:eastAsia="MS Mincho" w:cstheme="minorHAnsi"/>
          <w:color w:val="000000"/>
          <w:sz w:val="24"/>
          <w:szCs w:val="24"/>
          <w:lang w:eastAsia="en-US"/>
        </w:rPr>
      </w:pPr>
      <w:r w:rsidRPr="00D23B8F">
        <w:rPr>
          <w:rFonts w:eastAsia="MS Mincho" w:cstheme="minorHAnsi"/>
          <w:color w:val="000000"/>
          <w:sz w:val="24"/>
          <w:szCs w:val="24"/>
          <w:lang w:eastAsia="en-US"/>
        </w:rPr>
        <w:t xml:space="preserve">The </w:t>
      </w:r>
      <w:r w:rsidR="00D958DC" w:rsidRPr="00D23B8F">
        <w:rPr>
          <w:rFonts w:eastAsia="MS Mincho" w:cstheme="minorHAnsi"/>
          <w:color w:val="000000"/>
          <w:sz w:val="24"/>
          <w:szCs w:val="24"/>
          <w:lang w:eastAsia="en-US"/>
        </w:rPr>
        <w:t xml:space="preserve">Office for Learning and Teaching </w:t>
      </w:r>
      <w:r w:rsidRPr="00D23B8F">
        <w:rPr>
          <w:rFonts w:eastAsia="MS Mincho" w:cstheme="minorHAnsi"/>
          <w:color w:val="000000"/>
          <w:sz w:val="24"/>
          <w:szCs w:val="24"/>
          <w:lang w:eastAsia="en-US"/>
        </w:rPr>
        <w:t xml:space="preserve">project was implemented in four phases.  Phase 1 involved a desk audit </w:t>
      </w:r>
      <w:r w:rsidRPr="00D23B8F">
        <w:rPr>
          <w:rFonts w:eastAsia="MS Mincho" w:cstheme="minorHAnsi"/>
          <w:color w:val="000000"/>
          <w:sz w:val="24"/>
          <w:szCs w:val="24"/>
          <w:lang w:eastAsia="en-US"/>
        </w:rPr>
        <w:lastRenderedPageBreak/>
        <w:t xml:space="preserve">of available literature on data quality issues. </w:t>
      </w:r>
      <w:r w:rsidR="00C80B21" w:rsidRPr="00D23B8F">
        <w:rPr>
          <w:rFonts w:eastAsia="MS Mincho" w:cstheme="minorHAnsi"/>
          <w:color w:val="000000"/>
          <w:sz w:val="24"/>
          <w:szCs w:val="24"/>
          <w:lang w:eastAsia="en-US"/>
        </w:rPr>
        <w:t>In Phase 2 a</w:t>
      </w:r>
      <w:r w:rsidRPr="00D23B8F">
        <w:rPr>
          <w:rFonts w:eastAsia="MS Mincho" w:cstheme="minorHAnsi"/>
          <w:color w:val="000000"/>
          <w:sz w:val="24"/>
          <w:szCs w:val="24"/>
          <w:lang w:eastAsia="en-US"/>
        </w:rPr>
        <w:t xml:space="preserve"> draft discussion paper was developed as a trigger document for an expert panel consultation.   Indigenous and non-Indigenous experts in the fields of statistics, demography, economics, and higher education administration identified in the desk audit were invited to critically evaluate the findings of the draft paper. </w:t>
      </w:r>
      <w:r w:rsidR="00D77884" w:rsidRPr="00D23B8F">
        <w:rPr>
          <w:rFonts w:eastAsia="MS Mincho" w:cstheme="minorHAnsi"/>
          <w:color w:val="000000"/>
          <w:sz w:val="24"/>
          <w:szCs w:val="24"/>
          <w:lang w:eastAsia="en-US"/>
        </w:rPr>
        <w:t xml:space="preserve"> </w:t>
      </w:r>
      <w:r w:rsidR="0032322D">
        <w:rPr>
          <w:rFonts w:eastAsia="MS Mincho" w:cstheme="minorHAnsi"/>
          <w:color w:val="000000"/>
          <w:sz w:val="24"/>
          <w:szCs w:val="24"/>
          <w:lang w:eastAsia="en-US"/>
        </w:rPr>
        <w:t xml:space="preserve"> Further to this</w:t>
      </w:r>
      <w:r w:rsidR="000E10FC">
        <w:rPr>
          <w:rFonts w:eastAsia="MS Mincho" w:cstheme="minorHAnsi"/>
          <w:color w:val="000000"/>
          <w:sz w:val="24"/>
          <w:szCs w:val="24"/>
          <w:lang w:eastAsia="en-US"/>
        </w:rPr>
        <w:t>,</w:t>
      </w:r>
      <w:r w:rsidR="0032322D">
        <w:rPr>
          <w:rFonts w:eastAsia="MS Mincho" w:cstheme="minorHAnsi"/>
          <w:color w:val="000000"/>
          <w:sz w:val="24"/>
          <w:szCs w:val="24"/>
          <w:lang w:eastAsia="en-US"/>
        </w:rPr>
        <w:t xml:space="preserve"> t</w:t>
      </w:r>
      <w:r w:rsidR="00E874B9" w:rsidRPr="00D23B8F">
        <w:rPr>
          <w:rFonts w:eastAsia="MS Mincho" w:cstheme="minorHAnsi"/>
          <w:color w:val="000000"/>
          <w:sz w:val="24"/>
          <w:szCs w:val="24"/>
          <w:lang w:eastAsia="en-US"/>
        </w:rPr>
        <w:t>hree</w:t>
      </w:r>
      <w:r w:rsidR="00D77884" w:rsidRPr="00D23B8F">
        <w:rPr>
          <w:rFonts w:eastAsia="MS Mincho" w:cstheme="minorHAnsi"/>
          <w:color w:val="000000"/>
          <w:sz w:val="24"/>
          <w:szCs w:val="24"/>
          <w:lang w:eastAsia="en-US"/>
        </w:rPr>
        <w:t xml:space="preserve"> </w:t>
      </w:r>
      <w:r w:rsidR="00526951" w:rsidRPr="00D23B8F">
        <w:rPr>
          <w:rFonts w:eastAsia="MS Mincho" w:cstheme="minorHAnsi"/>
          <w:color w:val="000000"/>
          <w:sz w:val="24"/>
          <w:szCs w:val="24"/>
          <w:lang w:eastAsia="en-US"/>
        </w:rPr>
        <w:lastRenderedPageBreak/>
        <w:t xml:space="preserve">Indigenous and </w:t>
      </w:r>
      <w:r w:rsidR="00E874B9" w:rsidRPr="00D23B8F">
        <w:rPr>
          <w:rFonts w:eastAsia="MS Mincho" w:cstheme="minorHAnsi"/>
          <w:color w:val="000000"/>
          <w:sz w:val="24"/>
          <w:szCs w:val="24"/>
          <w:lang w:eastAsia="en-US"/>
        </w:rPr>
        <w:t>four</w:t>
      </w:r>
      <w:r w:rsidR="00526951" w:rsidRPr="00D23B8F">
        <w:rPr>
          <w:rFonts w:eastAsia="MS Mincho" w:cstheme="minorHAnsi"/>
          <w:color w:val="000000"/>
          <w:sz w:val="24"/>
          <w:szCs w:val="24"/>
          <w:lang w:eastAsia="en-US"/>
        </w:rPr>
        <w:t xml:space="preserve"> non</w:t>
      </w:r>
      <w:r w:rsidR="00380C34">
        <w:rPr>
          <w:rFonts w:eastAsia="MS Mincho" w:cstheme="minorHAnsi"/>
          <w:color w:val="000000"/>
          <w:sz w:val="24"/>
          <w:szCs w:val="24"/>
          <w:lang w:eastAsia="en-US"/>
        </w:rPr>
        <w:t>-</w:t>
      </w:r>
      <w:r w:rsidR="00526951" w:rsidRPr="00D23B8F">
        <w:rPr>
          <w:rFonts w:eastAsia="MS Mincho" w:cstheme="minorHAnsi"/>
          <w:color w:val="000000"/>
          <w:sz w:val="24"/>
          <w:szCs w:val="24"/>
          <w:lang w:eastAsia="en-US"/>
        </w:rPr>
        <w:t xml:space="preserve"> </w:t>
      </w:r>
      <w:r w:rsidR="000A47E2" w:rsidRPr="00D23B8F">
        <w:rPr>
          <w:rFonts w:eastAsia="MS Mincho" w:cstheme="minorHAnsi"/>
          <w:color w:val="000000"/>
          <w:sz w:val="24"/>
          <w:szCs w:val="24"/>
          <w:lang w:eastAsia="en-US"/>
        </w:rPr>
        <w:t>Indigenous</w:t>
      </w:r>
      <w:r w:rsidR="00526951" w:rsidRPr="00D23B8F">
        <w:rPr>
          <w:rFonts w:eastAsia="MS Mincho" w:cstheme="minorHAnsi"/>
          <w:color w:val="000000"/>
          <w:sz w:val="24"/>
          <w:szCs w:val="24"/>
          <w:lang w:eastAsia="en-US"/>
        </w:rPr>
        <w:t xml:space="preserve"> </w:t>
      </w:r>
      <w:r w:rsidR="0032322D">
        <w:rPr>
          <w:rFonts w:eastAsia="MS Mincho" w:cstheme="minorHAnsi"/>
          <w:color w:val="000000"/>
          <w:sz w:val="24"/>
          <w:szCs w:val="24"/>
          <w:lang w:eastAsia="en-US"/>
        </w:rPr>
        <w:t xml:space="preserve">senior educators </w:t>
      </w:r>
      <w:r w:rsidR="00D77884" w:rsidRPr="00D23B8F">
        <w:rPr>
          <w:rFonts w:eastAsia="MS Mincho" w:cstheme="minorHAnsi"/>
          <w:color w:val="000000"/>
          <w:sz w:val="24"/>
          <w:szCs w:val="24"/>
          <w:lang w:eastAsia="en-US"/>
        </w:rPr>
        <w:t>participated in a consultative conversational interview seeking their views regarding the key issues of data quality and the key challenges facing the higher education sector in this field.</w:t>
      </w:r>
      <w:r w:rsidRPr="00D23B8F">
        <w:rPr>
          <w:rFonts w:eastAsia="MS Mincho" w:cstheme="minorHAnsi"/>
          <w:color w:val="000000"/>
          <w:sz w:val="24"/>
          <w:szCs w:val="24"/>
          <w:lang w:eastAsia="en-US"/>
        </w:rPr>
        <w:t xml:space="preserve"> </w:t>
      </w:r>
      <w:r w:rsidR="00526951" w:rsidRPr="00D23B8F">
        <w:rPr>
          <w:rFonts w:eastAsia="MS Mincho" w:cstheme="minorHAnsi"/>
          <w:color w:val="000000"/>
          <w:sz w:val="24"/>
          <w:szCs w:val="24"/>
          <w:lang w:eastAsia="en-US"/>
        </w:rPr>
        <w:t xml:space="preserve">A satiation search strategy guided the recruitment of participants until no further substantive issues emerged. </w:t>
      </w:r>
      <w:r w:rsidRPr="00D23B8F">
        <w:rPr>
          <w:rFonts w:eastAsia="MS Mincho" w:cstheme="minorHAnsi"/>
          <w:color w:val="000000"/>
          <w:sz w:val="24"/>
          <w:szCs w:val="24"/>
          <w:lang w:eastAsia="en-US"/>
        </w:rPr>
        <w:t xml:space="preserve">In Phase 3, a revised discussion paper was presented to </w:t>
      </w:r>
      <w:r w:rsidRPr="00D23B8F">
        <w:rPr>
          <w:rFonts w:eastAsia="MS Mincho" w:cstheme="minorHAnsi"/>
          <w:color w:val="000000"/>
          <w:sz w:val="24"/>
          <w:szCs w:val="24"/>
          <w:lang w:eastAsia="en-US"/>
        </w:rPr>
        <w:lastRenderedPageBreak/>
        <w:t xml:space="preserve">Aboriginal and Torres Strait Islander higher education sector representatives and other stakeholders for comment, discussion and revision.  And in Phase 4, following publication of the report by the Office for Learning and Teaching, the discussion paper including </w:t>
      </w:r>
      <w:r w:rsidR="00D958DC" w:rsidRPr="00D23B8F">
        <w:rPr>
          <w:rFonts w:eastAsia="MS Mincho" w:cstheme="minorHAnsi"/>
          <w:color w:val="000000"/>
          <w:sz w:val="24"/>
          <w:szCs w:val="24"/>
          <w:lang w:eastAsia="en-US"/>
        </w:rPr>
        <w:t xml:space="preserve">a </w:t>
      </w:r>
      <w:r w:rsidRPr="00D23B8F">
        <w:rPr>
          <w:rFonts w:eastAsia="MS Mincho" w:cstheme="minorHAnsi"/>
          <w:color w:val="000000"/>
          <w:sz w:val="24"/>
          <w:szCs w:val="24"/>
          <w:lang w:eastAsia="en-US"/>
        </w:rPr>
        <w:t>prop</w:t>
      </w:r>
      <w:r w:rsidR="00601D6E" w:rsidRPr="00D23B8F">
        <w:rPr>
          <w:rFonts w:eastAsia="MS Mincho" w:cstheme="minorHAnsi"/>
          <w:color w:val="000000"/>
          <w:sz w:val="24"/>
          <w:szCs w:val="24"/>
          <w:lang w:eastAsia="en-US"/>
        </w:rPr>
        <w:t>osed draft data quality</w:t>
      </w:r>
      <w:r w:rsidR="00C854AC" w:rsidRPr="00D23B8F">
        <w:rPr>
          <w:rFonts w:eastAsia="MS Mincho" w:cstheme="minorHAnsi"/>
          <w:color w:val="000000"/>
          <w:sz w:val="24"/>
          <w:szCs w:val="24"/>
          <w:lang w:eastAsia="en-US"/>
        </w:rPr>
        <w:t xml:space="preserve"> </w:t>
      </w:r>
      <w:r w:rsidR="00601D6E" w:rsidRPr="00D23B8F">
        <w:rPr>
          <w:rFonts w:eastAsia="MS Mincho" w:cstheme="minorHAnsi"/>
          <w:color w:val="000000"/>
          <w:sz w:val="24"/>
          <w:szCs w:val="24"/>
          <w:lang w:eastAsia="en-US"/>
        </w:rPr>
        <w:t>conceptual model</w:t>
      </w:r>
      <w:r w:rsidR="00C854AC" w:rsidRPr="00D23B8F">
        <w:rPr>
          <w:rFonts w:eastAsia="MS Mincho" w:cstheme="minorHAnsi"/>
          <w:color w:val="000000"/>
          <w:sz w:val="24"/>
          <w:szCs w:val="24"/>
          <w:lang w:eastAsia="en-US"/>
        </w:rPr>
        <w:t xml:space="preserve"> </w:t>
      </w:r>
      <w:r w:rsidR="00C80B21" w:rsidRPr="00D23B8F">
        <w:rPr>
          <w:rFonts w:eastAsia="MS Mincho" w:cstheme="minorHAnsi"/>
          <w:color w:val="000000"/>
          <w:sz w:val="24"/>
          <w:szCs w:val="24"/>
          <w:lang w:eastAsia="en-US"/>
        </w:rPr>
        <w:t>was</w:t>
      </w:r>
      <w:r w:rsidRPr="00D23B8F">
        <w:rPr>
          <w:rFonts w:eastAsia="MS Mincho" w:cstheme="minorHAnsi"/>
          <w:color w:val="000000"/>
          <w:sz w:val="24"/>
          <w:szCs w:val="24"/>
          <w:lang w:eastAsia="en-US"/>
        </w:rPr>
        <w:t xml:space="preserve"> made available for wider dissemination and feedback throughout the sector.  </w:t>
      </w:r>
      <w:r w:rsidR="00552951" w:rsidRPr="00D23B8F">
        <w:rPr>
          <w:rFonts w:eastAsia="MS Mincho" w:cstheme="minorHAnsi"/>
          <w:color w:val="000000"/>
          <w:sz w:val="24"/>
          <w:szCs w:val="24"/>
          <w:lang w:eastAsia="en-US"/>
        </w:rPr>
        <w:t xml:space="preserve">This </w:t>
      </w:r>
      <w:r w:rsidR="00552951" w:rsidRPr="00D23B8F">
        <w:rPr>
          <w:rFonts w:eastAsia="MS Mincho" w:cstheme="minorHAnsi"/>
          <w:color w:val="000000"/>
          <w:sz w:val="24"/>
          <w:szCs w:val="24"/>
          <w:lang w:eastAsia="en-US"/>
        </w:rPr>
        <w:lastRenderedPageBreak/>
        <w:t>paper outlines the findings of our research</w:t>
      </w:r>
      <w:r w:rsidR="008549E1" w:rsidRPr="00D23B8F">
        <w:rPr>
          <w:rFonts w:eastAsia="MS Mincho" w:cstheme="minorHAnsi"/>
          <w:color w:val="000000"/>
          <w:sz w:val="24"/>
          <w:szCs w:val="24"/>
          <w:lang w:eastAsia="en-US"/>
        </w:rPr>
        <w:t xml:space="preserve"> </w:t>
      </w:r>
      <w:r w:rsidR="00552951" w:rsidRPr="00D23B8F">
        <w:rPr>
          <w:rFonts w:eastAsia="MS Mincho" w:cstheme="minorHAnsi"/>
          <w:color w:val="000000"/>
          <w:sz w:val="24"/>
          <w:szCs w:val="24"/>
          <w:lang w:eastAsia="en-US"/>
        </w:rPr>
        <w:t xml:space="preserve">using a </w:t>
      </w:r>
      <w:r w:rsidR="003C2265" w:rsidRPr="00D23B8F">
        <w:rPr>
          <w:rFonts w:eastAsia="MS Mincho" w:cstheme="minorHAnsi"/>
          <w:color w:val="000000"/>
          <w:sz w:val="24"/>
          <w:szCs w:val="24"/>
          <w:lang w:eastAsia="en-US"/>
        </w:rPr>
        <w:t xml:space="preserve">conceptual </w:t>
      </w:r>
      <w:r w:rsidR="00552951" w:rsidRPr="00D23B8F">
        <w:rPr>
          <w:rFonts w:eastAsia="MS Mincho" w:cstheme="minorHAnsi"/>
          <w:color w:val="000000"/>
          <w:sz w:val="24"/>
          <w:szCs w:val="24"/>
          <w:lang w:eastAsia="en-US"/>
        </w:rPr>
        <w:t>framework for understanding and addressing the data quality challenges that were identified.</w:t>
      </w:r>
    </w:p>
    <w:p w14:paraId="530722EE" w14:textId="77777777" w:rsidR="00D87FD1" w:rsidRPr="00D23B8F" w:rsidRDefault="00D87FD1" w:rsidP="008B1F03">
      <w:pPr>
        <w:spacing w:after="0" w:line="480" w:lineRule="auto"/>
        <w:rPr>
          <w:rFonts w:cstheme="minorHAnsi"/>
          <w:sz w:val="24"/>
          <w:szCs w:val="24"/>
        </w:rPr>
      </w:pPr>
    </w:p>
    <w:p w14:paraId="53D3F647" w14:textId="77777777" w:rsidR="001E5E0B" w:rsidRPr="00D23B8F" w:rsidRDefault="001E5E0B" w:rsidP="008B1F03">
      <w:pPr>
        <w:pStyle w:val="Heading1"/>
        <w:spacing w:line="480" w:lineRule="auto"/>
        <w:rPr>
          <w:rFonts w:asciiTheme="minorHAnsi" w:hAnsiTheme="minorHAnsi" w:cstheme="minorHAnsi"/>
        </w:rPr>
      </w:pPr>
      <w:r w:rsidRPr="00D23B8F">
        <w:rPr>
          <w:rFonts w:asciiTheme="minorHAnsi" w:hAnsiTheme="minorHAnsi" w:cstheme="minorHAnsi"/>
        </w:rPr>
        <w:lastRenderedPageBreak/>
        <w:t>The case for elaborating data quality</w:t>
      </w:r>
    </w:p>
    <w:p w14:paraId="059BD844" w14:textId="2B775436" w:rsidR="000E1CA1" w:rsidRPr="00D23B8F" w:rsidRDefault="000F30F7" w:rsidP="008B1F03">
      <w:pPr>
        <w:spacing w:after="0" w:line="480" w:lineRule="auto"/>
        <w:rPr>
          <w:rFonts w:cstheme="minorHAnsi"/>
          <w:sz w:val="24"/>
          <w:szCs w:val="24"/>
        </w:rPr>
      </w:pPr>
      <w:r w:rsidRPr="00D23B8F">
        <w:rPr>
          <w:rFonts w:cstheme="minorHAnsi"/>
          <w:sz w:val="24"/>
          <w:szCs w:val="24"/>
        </w:rPr>
        <w:t xml:space="preserve">Attempting to </w:t>
      </w:r>
      <w:r w:rsidR="000506C7">
        <w:rPr>
          <w:rFonts w:cstheme="minorHAnsi"/>
          <w:sz w:val="24"/>
          <w:szCs w:val="24"/>
        </w:rPr>
        <w:t>‘</w:t>
      </w:r>
      <w:r w:rsidRPr="00D23B8F">
        <w:rPr>
          <w:rFonts w:cstheme="minorHAnsi"/>
          <w:sz w:val="24"/>
          <w:szCs w:val="24"/>
        </w:rPr>
        <w:t>count</w:t>
      </w:r>
      <w:r w:rsidR="000506C7">
        <w:rPr>
          <w:rFonts w:cstheme="minorHAnsi"/>
          <w:sz w:val="24"/>
          <w:szCs w:val="24"/>
        </w:rPr>
        <w:t>’</w:t>
      </w:r>
      <w:r w:rsidRPr="00D23B8F">
        <w:rPr>
          <w:rFonts w:cstheme="minorHAnsi"/>
          <w:sz w:val="24"/>
          <w:szCs w:val="24"/>
        </w:rPr>
        <w:t xml:space="preserve"> Aboriginal and Torres Strait Islander peoples is a surprisingly recent enterprise.  According to the </w:t>
      </w:r>
      <w:r w:rsidR="0096343A" w:rsidRPr="00D23B8F">
        <w:rPr>
          <w:rFonts w:cstheme="minorHAnsi"/>
          <w:sz w:val="24"/>
          <w:szCs w:val="24"/>
        </w:rPr>
        <w:t xml:space="preserve">1901 </w:t>
      </w:r>
      <w:r w:rsidRPr="00D23B8F">
        <w:rPr>
          <w:rFonts w:cstheme="minorHAnsi"/>
          <w:i/>
          <w:sz w:val="24"/>
          <w:szCs w:val="24"/>
        </w:rPr>
        <w:t>Australian Constitution</w:t>
      </w:r>
      <w:r w:rsidR="0096343A" w:rsidRPr="00D23B8F">
        <w:rPr>
          <w:rFonts w:cstheme="minorHAnsi"/>
          <w:sz w:val="24"/>
          <w:szCs w:val="24"/>
        </w:rPr>
        <w:t xml:space="preserve">, </w:t>
      </w:r>
      <w:r w:rsidRPr="00D23B8F">
        <w:rPr>
          <w:rFonts w:cstheme="minorHAnsi"/>
          <w:sz w:val="24"/>
          <w:szCs w:val="24"/>
        </w:rPr>
        <w:t>Aboriginal and Torres Strait Islander peoples were counted but</w:t>
      </w:r>
      <w:r w:rsidR="00C20A86" w:rsidRPr="00D23B8F">
        <w:rPr>
          <w:rFonts w:cstheme="minorHAnsi"/>
          <w:sz w:val="24"/>
          <w:szCs w:val="24"/>
        </w:rPr>
        <w:t xml:space="preserve"> were excluded from the </w:t>
      </w:r>
      <w:r w:rsidR="009F1E6E" w:rsidRPr="00D23B8F">
        <w:rPr>
          <w:rFonts w:cstheme="minorHAnsi"/>
          <w:sz w:val="24"/>
          <w:szCs w:val="24"/>
        </w:rPr>
        <w:t>c</w:t>
      </w:r>
      <w:r w:rsidR="00C20A86" w:rsidRPr="00D23B8F">
        <w:rPr>
          <w:rFonts w:cstheme="minorHAnsi"/>
          <w:sz w:val="24"/>
          <w:szCs w:val="24"/>
        </w:rPr>
        <w:t xml:space="preserve">ensus </w:t>
      </w:r>
      <w:r w:rsidRPr="00D23B8F">
        <w:rPr>
          <w:rFonts w:cstheme="minorHAnsi"/>
          <w:noProof/>
          <w:sz w:val="24"/>
          <w:szCs w:val="24"/>
        </w:rPr>
        <w:t xml:space="preserve">(Martin, Morphy, Sanders, </w:t>
      </w:r>
      <w:r w:rsidR="00595A22">
        <w:rPr>
          <w:rFonts w:cstheme="minorHAnsi"/>
          <w:noProof/>
          <w:sz w:val="24"/>
          <w:szCs w:val="24"/>
        </w:rPr>
        <w:t>and</w:t>
      </w:r>
      <w:r w:rsidR="00595A22" w:rsidRPr="00D23B8F">
        <w:rPr>
          <w:rFonts w:cstheme="minorHAnsi"/>
          <w:noProof/>
          <w:sz w:val="24"/>
          <w:szCs w:val="24"/>
        </w:rPr>
        <w:t xml:space="preserve"> </w:t>
      </w:r>
      <w:r w:rsidRPr="00D23B8F">
        <w:rPr>
          <w:rFonts w:cstheme="minorHAnsi"/>
          <w:noProof/>
          <w:sz w:val="24"/>
          <w:szCs w:val="24"/>
        </w:rPr>
        <w:t>Taylor 2004)</w:t>
      </w:r>
      <w:r w:rsidRPr="00D23B8F">
        <w:rPr>
          <w:rFonts w:cstheme="minorHAnsi"/>
          <w:sz w:val="24"/>
          <w:szCs w:val="24"/>
        </w:rPr>
        <w:t xml:space="preserve">. It was </w:t>
      </w:r>
      <w:r w:rsidRPr="00D23B8F">
        <w:rPr>
          <w:rFonts w:cstheme="minorHAnsi"/>
          <w:sz w:val="24"/>
          <w:szCs w:val="24"/>
        </w:rPr>
        <w:lastRenderedPageBreak/>
        <w:t xml:space="preserve">only after the 1967 referendum that an Aboriginal Enumeration Strategy was developed by the </w:t>
      </w:r>
      <w:r w:rsidR="0070706A" w:rsidRPr="00D23B8F">
        <w:rPr>
          <w:rFonts w:cstheme="minorHAnsi"/>
          <w:noProof/>
          <w:sz w:val="24"/>
          <w:szCs w:val="24"/>
        </w:rPr>
        <w:t>Australian Bureau of Statistics</w:t>
      </w:r>
      <w:r w:rsidR="0070706A" w:rsidRPr="00D23B8F">
        <w:rPr>
          <w:rFonts w:cstheme="minorHAnsi"/>
          <w:sz w:val="24"/>
          <w:szCs w:val="24"/>
        </w:rPr>
        <w:t xml:space="preserve"> </w:t>
      </w:r>
      <w:r w:rsidRPr="00D23B8F">
        <w:rPr>
          <w:rFonts w:cstheme="minorHAnsi"/>
          <w:noProof/>
          <w:sz w:val="24"/>
          <w:szCs w:val="24"/>
        </w:rPr>
        <w:t xml:space="preserve">(see also Australian Institute of Health and Welfare </w:t>
      </w:r>
      <w:r w:rsidR="00595A22">
        <w:rPr>
          <w:rFonts w:cstheme="minorHAnsi"/>
          <w:noProof/>
          <w:sz w:val="24"/>
          <w:szCs w:val="24"/>
        </w:rPr>
        <w:t>and</w:t>
      </w:r>
      <w:r w:rsidRPr="00D23B8F">
        <w:rPr>
          <w:rFonts w:cstheme="minorHAnsi"/>
          <w:noProof/>
          <w:sz w:val="24"/>
          <w:szCs w:val="24"/>
        </w:rPr>
        <w:t xml:space="preserve"> Australian Bureau of Statistics 2006)</w:t>
      </w:r>
      <w:r w:rsidRPr="00D23B8F">
        <w:rPr>
          <w:rFonts w:cstheme="minorHAnsi"/>
          <w:sz w:val="24"/>
          <w:szCs w:val="24"/>
        </w:rPr>
        <w:t xml:space="preserve">. This </w:t>
      </w:r>
      <w:r w:rsidR="00163F06" w:rsidRPr="00D23B8F">
        <w:rPr>
          <w:rFonts w:cstheme="minorHAnsi"/>
          <w:sz w:val="24"/>
          <w:szCs w:val="24"/>
        </w:rPr>
        <w:t xml:space="preserve">led to </w:t>
      </w:r>
      <w:r w:rsidRPr="00D23B8F">
        <w:rPr>
          <w:rFonts w:cstheme="minorHAnsi"/>
          <w:sz w:val="24"/>
          <w:szCs w:val="24"/>
        </w:rPr>
        <w:t xml:space="preserve">the development of </w:t>
      </w:r>
      <w:r w:rsidR="00163F06" w:rsidRPr="00D23B8F">
        <w:rPr>
          <w:rFonts w:cstheme="minorHAnsi"/>
          <w:sz w:val="24"/>
          <w:szCs w:val="24"/>
        </w:rPr>
        <w:t xml:space="preserve">an </w:t>
      </w:r>
      <w:r w:rsidRPr="00D23B8F">
        <w:rPr>
          <w:rFonts w:cstheme="minorHAnsi"/>
          <w:sz w:val="24"/>
          <w:szCs w:val="24"/>
        </w:rPr>
        <w:t>Indigenous self-identification question</w:t>
      </w:r>
      <w:r w:rsidR="0070706A" w:rsidRPr="00D23B8F">
        <w:rPr>
          <w:rFonts w:cstheme="minorHAnsi"/>
          <w:sz w:val="24"/>
          <w:szCs w:val="24"/>
        </w:rPr>
        <w:t>,</w:t>
      </w:r>
      <w:r w:rsidRPr="00D23B8F">
        <w:rPr>
          <w:rFonts w:cstheme="minorHAnsi"/>
          <w:sz w:val="24"/>
          <w:szCs w:val="24"/>
        </w:rPr>
        <w:t xml:space="preserve"> and the shift from biological to sociological determinants for enumerating the </w:t>
      </w:r>
      <w:r w:rsidR="000E10FC">
        <w:rPr>
          <w:rFonts w:cstheme="minorHAnsi"/>
          <w:sz w:val="24"/>
          <w:szCs w:val="24"/>
        </w:rPr>
        <w:t>‘</w:t>
      </w:r>
      <w:r w:rsidRPr="00D23B8F">
        <w:rPr>
          <w:rFonts w:cstheme="minorHAnsi"/>
          <w:sz w:val="24"/>
          <w:szCs w:val="24"/>
        </w:rPr>
        <w:t>Aboriginal population</w:t>
      </w:r>
      <w:r w:rsidR="000E10FC">
        <w:rPr>
          <w:rFonts w:cstheme="minorHAnsi"/>
          <w:sz w:val="24"/>
          <w:szCs w:val="24"/>
        </w:rPr>
        <w:t>’</w:t>
      </w:r>
      <w:r w:rsidRPr="00D23B8F">
        <w:rPr>
          <w:rFonts w:cstheme="minorHAnsi"/>
          <w:sz w:val="24"/>
          <w:szCs w:val="24"/>
        </w:rPr>
        <w:t xml:space="preserve"> </w:t>
      </w:r>
      <w:r w:rsidRPr="00D23B8F">
        <w:rPr>
          <w:rFonts w:cstheme="minorHAnsi"/>
          <w:noProof/>
          <w:sz w:val="24"/>
          <w:szCs w:val="24"/>
        </w:rPr>
        <w:lastRenderedPageBreak/>
        <w:t xml:space="preserve">(Rowse </w:t>
      </w:r>
      <w:r w:rsidR="00DC0476">
        <w:rPr>
          <w:rFonts w:cstheme="minorHAnsi"/>
          <w:noProof/>
          <w:sz w:val="24"/>
          <w:szCs w:val="24"/>
        </w:rPr>
        <w:t>and</w:t>
      </w:r>
      <w:r w:rsidR="00DC0476" w:rsidRPr="00D23B8F">
        <w:rPr>
          <w:rFonts w:cstheme="minorHAnsi"/>
          <w:noProof/>
          <w:sz w:val="24"/>
          <w:szCs w:val="24"/>
        </w:rPr>
        <w:t xml:space="preserve"> </w:t>
      </w:r>
      <w:r w:rsidRPr="00D23B8F">
        <w:rPr>
          <w:rFonts w:cstheme="minorHAnsi"/>
          <w:noProof/>
          <w:sz w:val="24"/>
          <w:szCs w:val="24"/>
        </w:rPr>
        <w:t>Smith</w:t>
      </w:r>
      <w:r w:rsidR="00DC0476">
        <w:rPr>
          <w:rFonts w:cstheme="minorHAnsi"/>
          <w:noProof/>
          <w:sz w:val="24"/>
          <w:szCs w:val="24"/>
        </w:rPr>
        <w:t xml:space="preserve"> </w:t>
      </w:r>
      <w:r w:rsidRPr="00D23B8F">
        <w:rPr>
          <w:rFonts w:cstheme="minorHAnsi"/>
          <w:noProof/>
          <w:sz w:val="24"/>
          <w:szCs w:val="24"/>
        </w:rPr>
        <w:t xml:space="preserve"> 2010</w:t>
      </w:r>
      <w:r w:rsidR="00DC0476">
        <w:rPr>
          <w:rFonts w:cstheme="minorHAnsi"/>
          <w:noProof/>
          <w:sz w:val="24"/>
          <w:szCs w:val="24"/>
        </w:rPr>
        <w:t>:</w:t>
      </w:r>
      <w:r w:rsidRPr="00D23B8F">
        <w:rPr>
          <w:rFonts w:cstheme="minorHAnsi"/>
          <w:noProof/>
          <w:sz w:val="24"/>
          <w:szCs w:val="24"/>
        </w:rPr>
        <w:t xml:space="preserve"> 90)</w:t>
      </w:r>
      <w:r w:rsidRPr="00D23B8F">
        <w:rPr>
          <w:rFonts w:cstheme="minorHAnsi"/>
          <w:sz w:val="24"/>
          <w:szCs w:val="24"/>
        </w:rPr>
        <w:t>.</w:t>
      </w:r>
      <w:r w:rsidR="002D0D5C" w:rsidRPr="00D23B8F">
        <w:rPr>
          <w:rFonts w:cstheme="minorHAnsi"/>
          <w:sz w:val="24"/>
          <w:szCs w:val="24"/>
        </w:rPr>
        <w:t xml:space="preserve">  The exclusion of Aboriginal people from the </w:t>
      </w:r>
      <w:r w:rsidR="009F1E6E" w:rsidRPr="00D23B8F">
        <w:rPr>
          <w:rFonts w:cstheme="minorHAnsi"/>
          <w:sz w:val="24"/>
          <w:szCs w:val="24"/>
        </w:rPr>
        <w:t>c</w:t>
      </w:r>
      <w:r w:rsidR="002D0D5C" w:rsidRPr="00D23B8F">
        <w:rPr>
          <w:rFonts w:cstheme="minorHAnsi"/>
          <w:sz w:val="24"/>
          <w:szCs w:val="24"/>
        </w:rPr>
        <w:t xml:space="preserve">ensus </w:t>
      </w:r>
      <w:r w:rsidR="00C20A86" w:rsidRPr="00D23B8F">
        <w:rPr>
          <w:rFonts w:cstheme="minorHAnsi"/>
          <w:sz w:val="24"/>
          <w:szCs w:val="24"/>
        </w:rPr>
        <w:t>was not</w:t>
      </w:r>
      <w:r w:rsidR="00F86781" w:rsidRPr="00D23B8F">
        <w:rPr>
          <w:rFonts w:cstheme="minorHAnsi"/>
          <w:sz w:val="24"/>
          <w:szCs w:val="24"/>
        </w:rPr>
        <w:t xml:space="preserve"> an </w:t>
      </w:r>
      <w:r w:rsidR="00C20A86" w:rsidRPr="00D23B8F">
        <w:rPr>
          <w:rFonts w:cstheme="minorHAnsi"/>
          <w:sz w:val="24"/>
          <w:szCs w:val="24"/>
        </w:rPr>
        <w:t>apolitical act</w:t>
      </w:r>
      <w:r w:rsidR="007C6116" w:rsidRPr="00D23B8F">
        <w:rPr>
          <w:rFonts w:cstheme="minorHAnsi"/>
          <w:sz w:val="24"/>
          <w:szCs w:val="24"/>
        </w:rPr>
        <w:t>;</w:t>
      </w:r>
      <w:r w:rsidR="00C20A86" w:rsidRPr="00D23B8F">
        <w:rPr>
          <w:rFonts w:cstheme="minorHAnsi"/>
          <w:sz w:val="24"/>
          <w:szCs w:val="24"/>
        </w:rPr>
        <w:t xml:space="preserve"> i</w:t>
      </w:r>
      <w:r w:rsidR="002D0D5C" w:rsidRPr="00D23B8F">
        <w:rPr>
          <w:rFonts w:cstheme="minorHAnsi"/>
          <w:sz w:val="24"/>
          <w:szCs w:val="24"/>
        </w:rPr>
        <w:t>t was</w:t>
      </w:r>
      <w:r w:rsidR="00F86781" w:rsidRPr="00D23B8F">
        <w:rPr>
          <w:rFonts w:cstheme="minorHAnsi"/>
          <w:sz w:val="24"/>
          <w:szCs w:val="24"/>
        </w:rPr>
        <w:t xml:space="preserve"> an </w:t>
      </w:r>
      <w:r w:rsidR="00EA5822">
        <w:rPr>
          <w:rFonts w:cstheme="minorHAnsi"/>
          <w:sz w:val="24"/>
          <w:szCs w:val="24"/>
        </w:rPr>
        <w:t>‘</w:t>
      </w:r>
      <w:r w:rsidR="00F86781" w:rsidRPr="00D23B8F">
        <w:rPr>
          <w:rFonts w:cstheme="minorHAnsi"/>
          <w:sz w:val="24"/>
          <w:szCs w:val="24"/>
        </w:rPr>
        <w:t>active colonial practice</w:t>
      </w:r>
      <w:r w:rsidR="00EA5822">
        <w:rPr>
          <w:rFonts w:cstheme="minorHAnsi"/>
          <w:sz w:val="24"/>
          <w:szCs w:val="24"/>
        </w:rPr>
        <w:t>’</w:t>
      </w:r>
      <w:r w:rsidR="00F86781" w:rsidRPr="00D23B8F">
        <w:rPr>
          <w:rFonts w:cstheme="minorHAnsi"/>
          <w:sz w:val="24"/>
          <w:szCs w:val="24"/>
        </w:rPr>
        <w:t xml:space="preserve">, </w:t>
      </w:r>
      <w:r w:rsidR="002D0D5C" w:rsidRPr="00D23B8F">
        <w:rPr>
          <w:rFonts w:cstheme="minorHAnsi"/>
          <w:sz w:val="24"/>
          <w:szCs w:val="24"/>
        </w:rPr>
        <w:t xml:space="preserve">and the </w:t>
      </w:r>
      <w:r w:rsidR="00EA5822">
        <w:rPr>
          <w:rFonts w:cstheme="minorHAnsi"/>
          <w:sz w:val="24"/>
          <w:szCs w:val="24"/>
        </w:rPr>
        <w:t>‘</w:t>
      </w:r>
      <w:r w:rsidR="002D0D5C" w:rsidRPr="00D23B8F">
        <w:rPr>
          <w:rFonts w:cstheme="minorHAnsi"/>
          <w:sz w:val="24"/>
          <w:szCs w:val="24"/>
        </w:rPr>
        <w:t>uncounted counting</w:t>
      </w:r>
      <w:r w:rsidR="00EA5822">
        <w:rPr>
          <w:rFonts w:cstheme="minorHAnsi"/>
          <w:sz w:val="24"/>
          <w:szCs w:val="24"/>
        </w:rPr>
        <w:t>’</w:t>
      </w:r>
      <w:r w:rsidR="002D0D5C" w:rsidRPr="00D23B8F">
        <w:rPr>
          <w:rFonts w:cstheme="minorHAnsi"/>
          <w:sz w:val="24"/>
          <w:szCs w:val="24"/>
        </w:rPr>
        <w:t xml:space="preserve"> was emblematic of the assertion of colonial power and authority (Walter 2010</w:t>
      </w:r>
      <w:r w:rsidR="00DC0476">
        <w:rPr>
          <w:rFonts w:cstheme="minorHAnsi"/>
          <w:sz w:val="24"/>
          <w:szCs w:val="24"/>
        </w:rPr>
        <w:t xml:space="preserve">: </w:t>
      </w:r>
      <w:r w:rsidR="002D0D5C" w:rsidRPr="00D23B8F">
        <w:rPr>
          <w:rFonts w:cstheme="minorHAnsi"/>
          <w:sz w:val="24"/>
          <w:szCs w:val="24"/>
        </w:rPr>
        <w:t xml:space="preserve">46). </w:t>
      </w:r>
      <w:r w:rsidR="00C20A86" w:rsidRPr="00D23B8F">
        <w:rPr>
          <w:rFonts w:cstheme="minorHAnsi"/>
          <w:sz w:val="24"/>
          <w:szCs w:val="24"/>
        </w:rPr>
        <w:t xml:space="preserve"> </w:t>
      </w:r>
    </w:p>
    <w:p w14:paraId="46C44D58" w14:textId="77777777" w:rsidR="000E1CA1" w:rsidRPr="00D23B8F" w:rsidRDefault="000E1CA1" w:rsidP="008B1F03">
      <w:pPr>
        <w:spacing w:after="0" w:line="480" w:lineRule="auto"/>
        <w:rPr>
          <w:rFonts w:cstheme="minorHAnsi"/>
          <w:sz w:val="24"/>
          <w:szCs w:val="24"/>
        </w:rPr>
      </w:pPr>
    </w:p>
    <w:p w14:paraId="73D7FBFD" w14:textId="6AC1215B" w:rsidR="00A855E6" w:rsidRPr="00D23B8F" w:rsidRDefault="00C20A86" w:rsidP="008B1F03">
      <w:pPr>
        <w:spacing w:after="0" w:line="480" w:lineRule="auto"/>
        <w:rPr>
          <w:rFonts w:cstheme="minorHAnsi"/>
          <w:sz w:val="24"/>
          <w:szCs w:val="24"/>
        </w:rPr>
      </w:pPr>
      <w:r w:rsidRPr="00D23B8F">
        <w:rPr>
          <w:rFonts w:cstheme="minorHAnsi"/>
          <w:sz w:val="24"/>
          <w:szCs w:val="24"/>
        </w:rPr>
        <w:lastRenderedPageBreak/>
        <w:t>A</w:t>
      </w:r>
      <w:r w:rsidR="00A855E6" w:rsidRPr="00D23B8F">
        <w:rPr>
          <w:rFonts w:cstheme="minorHAnsi"/>
          <w:sz w:val="24"/>
          <w:szCs w:val="24"/>
        </w:rPr>
        <w:t xml:space="preserve">ssumptions of </w:t>
      </w:r>
      <w:r w:rsidR="00D57E3B" w:rsidRPr="00D23B8F">
        <w:rPr>
          <w:rFonts w:cstheme="minorHAnsi"/>
          <w:sz w:val="24"/>
          <w:szCs w:val="24"/>
        </w:rPr>
        <w:t>W</w:t>
      </w:r>
      <w:r w:rsidR="00A855E6" w:rsidRPr="00D23B8F">
        <w:rPr>
          <w:rFonts w:cstheme="minorHAnsi"/>
          <w:sz w:val="24"/>
          <w:szCs w:val="24"/>
        </w:rPr>
        <w:t xml:space="preserve">estern knowledge, methodologies and research underpinning </w:t>
      </w:r>
      <w:r w:rsidR="00503F5D" w:rsidRPr="00D23B8F">
        <w:rPr>
          <w:rFonts w:cstheme="minorHAnsi"/>
          <w:sz w:val="24"/>
          <w:szCs w:val="24"/>
        </w:rPr>
        <w:t xml:space="preserve">data collection and </w:t>
      </w:r>
      <w:r w:rsidR="00A855E6" w:rsidRPr="00D23B8F">
        <w:rPr>
          <w:rFonts w:cstheme="minorHAnsi"/>
          <w:sz w:val="24"/>
          <w:szCs w:val="24"/>
        </w:rPr>
        <w:t xml:space="preserve">statistics have tended to exclude Aboriginal and Torres Strait Islander values and perspectives </w:t>
      </w:r>
      <w:r w:rsidR="00A855E6" w:rsidRPr="00D23B8F">
        <w:rPr>
          <w:rFonts w:cstheme="minorHAnsi"/>
          <w:noProof/>
          <w:sz w:val="24"/>
          <w:szCs w:val="24"/>
        </w:rPr>
        <w:t>(</w:t>
      </w:r>
      <w:r w:rsidR="008A20B2">
        <w:rPr>
          <w:rFonts w:cstheme="minorHAnsi"/>
          <w:noProof/>
          <w:sz w:val="24"/>
          <w:szCs w:val="24"/>
        </w:rPr>
        <w:t>Rigney 199</w:t>
      </w:r>
      <w:r w:rsidR="00872AAE">
        <w:rPr>
          <w:rFonts w:cstheme="minorHAnsi"/>
          <w:noProof/>
          <w:sz w:val="24"/>
          <w:szCs w:val="24"/>
        </w:rPr>
        <w:t>9</w:t>
      </w:r>
      <w:r w:rsidR="008A20B2">
        <w:rPr>
          <w:rFonts w:cstheme="minorHAnsi"/>
          <w:noProof/>
          <w:sz w:val="24"/>
          <w:szCs w:val="24"/>
        </w:rPr>
        <w:t>; Martin 2003;</w:t>
      </w:r>
      <w:r w:rsidR="00872AAE">
        <w:rPr>
          <w:rFonts w:cstheme="minorHAnsi"/>
          <w:sz w:val="24"/>
          <w:szCs w:val="24"/>
        </w:rPr>
        <w:t xml:space="preserve"> </w:t>
      </w:r>
      <w:r w:rsidR="00755628" w:rsidRPr="00872AAE">
        <w:rPr>
          <w:rFonts w:cstheme="minorHAnsi"/>
          <w:noProof/>
          <w:sz w:val="24"/>
          <w:szCs w:val="24"/>
        </w:rPr>
        <w:t>Walter and Anders</w:t>
      </w:r>
      <w:r w:rsidR="000506C7">
        <w:rPr>
          <w:rFonts w:cstheme="minorHAnsi"/>
          <w:noProof/>
          <w:sz w:val="24"/>
          <w:szCs w:val="24"/>
        </w:rPr>
        <w:t>e</w:t>
      </w:r>
      <w:r w:rsidR="00755628" w:rsidRPr="00872AAE">
        <w:rPr>
          <w:rFonts w:cstheme="minorHAnsi"/>
          <w:noProof/>
          <w:sz w:val="24"/>
          <w:szCs w:val="24"/>
        </w:rPr>
        <w:t>n, 2013</w:t>
      </w:r>
      <w:r w:rsidR="00755628">
        <w:rPr>
          <w:rFonts w:cstheme="minorHAnsi"/>
          <w:noProof/>
          <w:sz w:val="24"/>
          <w:szCs w:val="24"/>
        </w:rPr>
        <w:t xml:space="preserve">; </w:t>
      </w:r>
      <w:r w:rsidR="00A855E6" w:rsidRPr="00D23B8F">
        <w:rPr>
          <w:rFonts w:cstheme="minorHAnsi"/>
          <w:noProof/>
          <w:sz w:val="24"/>
          <w:szCs w:val="24"/>
        </w:rPr>
        <w:t>Smith 2012</w:t>
      </w:r>
      <w:r w:rsidR="000A4D46">
        <w:rPr>
          <w:rFonts w:cstheme="minorHAnsi"/>
          <w:noProof/>
          <w:sz w:val="24"/>
          <w:szCs w:val="24"/>
        </w:rPr>
        <w:t>; Bodkin-Andrews and Carlson 2016</w:t>
      </w:r>
      <w:r w:rsidR="00A855E6" w:rsidRPr="00D23B8F">
        <w:rPr>
          <w:rFonts w:cstheme="minorHAnsi"/>
          <w:noProof/>
          <w:sz w:val="24"/>
          <w:szCs w:val="24"/>
        </w:rPr>
        <w:t>)</w:t>
      </w:r>
      <w:r w:rsidR="00A855E6" w:rsidRPr="00D23B8F">
        <w:rPr>
          <w:rFonts w:cstheme="minorHAnsi"/>
          <w:sz w:val="24"/>
          <w:szCs w:val="24"/>
        </w:rPr>
        <w:t xml:space="preserve">. Located within such practices, Walter </w:t>
      </w:r>
      <w:r w:rsidR="00A855E6" w:rsidRPr="00D23B8F">
        <w:rPr>
          <w:rFonts w:cstheme="minorHAnsi"/>
          <w:noProof/>
          <w:sz w:val="24"/>
          <w:szCs w:val="24"/>
        </w:rPr>
        <w:t>(2010)</w:t>
      </w:r>
      <w:r w:rsidR="00A855E6" w:rsidRPr="00D23B8F">
        <w:rPr>
          <w:rFonts w:cstheme="minorHAnsi"/>
          <w:sz w:val="24"/>
          <w:szCs w:val="24"/>
        </w:rPr>
        <w:t xml:space="preserve"> </w:t>
      </w:r>
      <w:r w:rsidR="00D57E3B" w:rsidRPr="00D23B8F">
        <w:rPr>
          <w:rFonts w:cstheme="minorHAnsi"/>
          <w:sz w:val="24"/>
          <w:szCs w:val="24"/>
        </w:rPr>
        <w:t>identifies the</w:t>
      </w:r>
      <w:r w:rsidR="00503F5D" w:rsidRPr="00D23B8F">
        <w:rPr>
          <w:rFonts w:cstheme="minorHAnsi"/>
          <w:sz w:val="24"/>
          <w:szCs w:val="24"/>
        </w:rPr>
        <w:t xml:space="preserve"> </w:t>
      </w:r>
      <w:r w:rsidR="00630416" w:rsidRPr="00D23B8F">
        <w:rPr>
          <w:rFonts w:cstheme="minorHAnsi"/>
          <w:sz w:val="24"/>
          <w:szCs w:val="24"/>
        </w:rPr>
        <w:t xml:space="preserve">embedment </w:t>
      </w:r>
      <w:r w:rsidR="00503F5D" w:rsidRPr="00D23B8F">
        <w:rPr>
          <w:rFonts w:cstheme="minorHAnsi"/>
          <w:sz w:val="24"/>
          <w:szCs w:val="24"/>
        </w:rPr>
        <w:t xml:space="preserve">of </w:t>
      </w:r>
      <w:r w:rsidR="000E10FC">
        <w:rPr>
          <w:rFonts w:cstheme="minorHAnsi"/>
          <w:sz w:val="24"/>
          <w:szCs w:val="24"/>
        </w:rPr>
        <w:t>‘</w:t>
      </w:r>
      <w:r w:rsidR="00503F5D" w:rsidRPr="00D23B8F">
        <w:rPr>
          <w:rFonts w:cstheme="minorHAnsi"/>
          <w:sz w:val="24"/>
          <w:szCs w:val="24"/>
        </w:rPr>
        <w:t>racial capital</w:t>
      </w:r>
      <w:r w:rsidR="000E10FC">
        <w:rPr>
          <w:rFonts w:cstheme="minorHAnsi"/>
          <w:sz w:val="24"/>
          <w:szCs w:val="24"/>
        </w:rPr>
        <w:t>’</w:t>
      </w:r>
      <w:r w:rsidR="00503F5D" w:rsidRPr="00D23B8F">
        <w:rPr>
          <w:rFonts w:cstheme="minorHAnsi"/>
          <w:sz w:val="24"/>
          <w:szCs w:val="24"/>
        </w:rPr>
        <w:t xml:space="preserve"> (48) and </w:t>
      </w:r>
      <w:r w:rsidR="00503F5D" w:rsidRPr="00D23B8F">
        <w:rPr>
          <w:rFonts w:cstheme="minorHAnsi"/>
          <w:sz w:val="24"/>
          <w:szCs w:val="24"/>
        </w:rPr>
        <w:lastRenderedPageBreak/>
        <w:t xml:space="preserve">the </w:t>
      </w:r>
      <w:r w:rsidR="000E10FC">
        <w:rPr>
          <w:rFonts w:cstheme="minorHAnsi"/>
          <w:sz w:val="24"/>
          <w:szCs w:val="24"/>
        </w:rPr>
        <w:t>‘</w:t>
      </w:r>
      <w:r w:rsidR="00503F5D" w:rsidRPr="00D23B8F">
        <w:rPr>
          <w:rFonts w:cstheme="minorHAnsi"/>
          <w:sz w:val="24"/>
          <w:szCs w:val="24"/>
        </w:rPr>
        <w:t>presumptive objectivity</w:t>
      </w:r>
      <w:r w:rsidR="000E10FC">
        <w:rPr>
          <w:rFonts w:cstheme="minorHAnsi"/>
          <w:sz w:val="24"/>
          <w:szCs w:val="24"/>
        </w:rPr>
        <w:t>’</w:t>
      </w:r>
      <w:r w:rsidR="00A855E6" w:rsidRPr="00D23B8F">
        <w:rPr>
          <w:rFonts w:cstheme="minorHAnsi"/>
          <w:sz w:val="24"/>
          <w:szCs w:val="24"/>
        </w:rPr>
        <w:t xml:space="preserve"> (53) in the collection (and subsequent statistical treatment) of data relating to Aboriginal and Torres Strait Islander peoples in Australia.</w:t>
      </w:r>
    </w:p>
    <w:p w14:paraId="3FEAFCA4" w14:textId="77777777" w:rsidR="00C20A86" w:rsidRPr="00D23B8F" w:rsidRDefault="00C20A86" w:rsidP="008B1F03">
      <w:pPr>
        <w:spacing w:after="0" w:line="480" w:lineRule="auto"/>
        <w:rPr>
          <w:rFonts w:cstheme="minorHAnsi"/>
          <w:sz w:val="24"/>
          <w:szCs w:val="24"/>
        </w:rPr>
      </w:pPr>
    </w:p>
    <w:p w14:paraId="34EAF06D" w14:textId="77777777" w:rsidR="000A4D46" w:rsidRDefault="00C20A86" w:rsidP="008B1F03">
      <w:pPr>
        <w:spacing w:after="0" w:line="480" w:lineRule="auto"/>
        <w:rPr>
          <w:rFonts w:cstheme="minorHAnsi"/>
          <w:sz w:val="24"/>
          <w:szCs w:val="24"/>
        </w:rPr>
      </w:pPr>
      <w:r w:rsidRPr="00D23B8F">
        <w:rPr>
          <w:rFonts w:cstheme="minorHAnsi"/>
          <w:sz w:val="24"/>
          <w:szCs w:val="24"/>
        </w:rPr>
        <w:t xml:space="preserve">The so-called impartiality of Aboriginal and Torres Strait Islander statistical data collection in Australia is a problematic assumption, not the least because it is implicated by the </w:t>
      </w:r>
      <w:r w:rsidRPr="00D23B8F">
        <w:rPr>
          <w:rFonts w:cstheme="minorHAnsi"/>
          <w:sz w:val="24"/>
          <w:szCs w:val="24"/>
        </w:rPr>
        <w:lastRenderedPageBreak/>
        <w:t xml:space="preserve">political and racial assumptions and values of those gathering data and framing the questions (Walter, 2010). Taylor </w:t>
      </w:r>
      <w:r w:rsidRPr="00D23B8F">
        <w:rPr>
          <w:rFonts w:cstheme="minorHAnsi"/>
          <w:noProof/>
          <w:sz w:val="24"/>
          <w:szCs w:val="24"/>
        </w:rPr>
        <w:t>(2011)</w:t>
      </w:r>
      <w:r w:rsidR="00F86781" w:rsidRPr="00D23B8F">
        <w:rPr>
          <w:rFonts w:cstheme="minorHAnsi"/>
          <w:sz w:val="24"/>
          <w:szCs w:val="24"/>
        </w:rPr>
        <w:t xml:space="preserve"> </w:t>
      </w:r>
      <w:r w:rsidR="004C6574" w:rsidRPr="00D23B8F">
        <w:rPr>
          <w:rFonts w:cstheme="minorHAnsi"/>
          <w:sz w:val="24"/>
          <w:szCs w:val="24"/>
        </w:rPr>
        <w:t xml:space="preserve">in his analysis of </w:t>
      </w:r>
      <w:r w:rsidR="00F86781" w:rsidRPr="00D23B8F">
        <w:rPr>
          <w:rFonts w:cstheme="minorHAnsi"/>
          <w:sz w:val="24"/>
          <w:szCs w:val="24"/>
        </w:rPr>
        <w:t>postcolonial demography</w:t>
      </w:r>
      <w:r w:rsidR="004C6574" w:rsidRPr="00D23B8F">
        <w:rPr>
          <w:rFonts w:cstheme="minorHAnsi"/>
          <w:sz w:val="24"/>
          <w:szCs w:val="24"/>
        </w:rPr>
        <w:t xml:space="preserve"> is highly critical of the </w:t>
      </w:r>
      <w:r w:rsidRPr="00D23B8F">
        <w:rPr>
          <w:rFonts w:cstheme="minorHAnsi"/>
          <w:sz w:val="24"/>
          <w:szCs w:val="24"/>
        </w:rPr>
        <w:t xml:space="preserve">collection of Indigenous statistics for comparative purposes, benchmarking with non-Indigenous populations, suggesting that such statistics can be misleading since they do not reflect Indigenous worldviews or geographies. </w:t>
      </w:r>
      <w:r w:rsidR="000D3C5C" w:rsidRPr="00D23B8F">
        <w:rPr>
          <w:rFonts w:cstheme="minorHAnsi"/>
          <w:sz w:val="24"/>
          <w:szCs w:val="24"/>
        </w:rPr>
        <w:t xml:space="preserve"> </w:t>
      </w:r>
    </w:p>
    <w:p w14:paraId="34165F10" w14:textId="77777777" w:rsidR="000A4D46" w:rsidRDefault="000A4D46" w:rsidP="008B1F03">
      <w:pPr>
        <w:spacing w:after="0" w:line="480" w:lineRule="auto"/>
        <w:rPr>
          <w:rFonts w:cstheme="minorHAnsi"/>
          <w:sz w:val="24"/>
          <w:szCs w:val="24"/>
        </w:rPr>
      </w:pPr>
    </w:p>
    <w:p w14:paraId="5949BE01" w14:textId="1A1BE5E9" w:rsidR="003C10B9" w:rsidRPr="00923E85" w:rsidRDefault="000C7E60" w:rsidP="008F7D17">
      <w:pPr>
        <w:autoSpaceDE w:val="0"/>
        <w:autoSpaceDN w:val="0"/>
        <w:adjustRightInd w:val="0"/>
        <w:spacing w:after="0" w:line="480" w:lineRule="auto"/>
        <w:rPr>
          <w:rFonts w:cstheme="minorHAnsi"/>
          <w:color w:val="000000"/>
          <w:sz w:val="24"/>
          <w:szCs w:val="24"/>
        </w:rPr>
      </w:pPr>
      <w:r>
        <w:rPr>
          <w:rFonts w:cstheme="minorHAnsi"/>
          <w:sz w:val="24"/>
          <w:szCs w:val="24"/>
        </w:rPr>
        <w:t xml:space="preserve">The problem is compounded as, </w:t>
      </w:r>
      <w:r w:rsidR="000E10FC">
        <w:rPr>
          <w:rFonts w:cstheme="minorHAnsi"/>
          <w:sz w:val="24"/>
          <w:szCs w:val="24"/>
        </w:rPr>
        <w:t>‘</w:t>
      </w:r>
      <w:r>
        <w:rPr>
          <w:rFonts w:cstheme="minorHAnsi"/>
          <w:sz w:val="24"/>
          <w:szCs w:val="24"/>
        </w:rPr>
        <w:t>the more the story of the data are told from a non-Indigenous standpoint, the more evidence there is [to] embed that world view as the truth</w:t>
      </w:r>
      <w:r w:rsidR="008F7D17">
        <w:rPr>
          <w:rFonts w:cstheme="minorHAnsi"/>
          <w:sz w:val="24"/>
          <w:szCs w:val="24"/>
        </w:rPr>
        <w:t>’</w:t>
      </w:r>
      <w:r>
        <w:rPr>
          <w:rFonts w:cstheme="minorHAnsi"/>
          <w:sz w:val="24"/>
          <w:szCs w:val="24"/>
        </w:rPr>
        <w:t xml:space="preserve"> (Kukutai and Walter 2015</w:t>
      </w:r>
      <w:r w:rsidR="00A639F8">
        <w:rPr>
          <w:rFonts w:cstheme="minorHAnsi"/>
          <w:sz w:val="24"/>
          <w:szCs w:val="24"/>
        </w:rPr>
        <w:t>: 322</w:t>
      </w:r>
      <w:r>
        <w:rPr>
          <w:rFonts w:cstheme="minorHAnsi"/>
          <w:sz w:val="24"/>
          <w:szCs w:val="24"/>
        </w:rPr>
        <w:t>).</w:t>
      </w:r>
      <w:r w:rsidR="000A4D46">
        <w:rPr>
          <w:rFonts w:cstheme="minorHAnsi"/>
          <w:sz w:val="24"/>
          <w:szCs w:val="24"/>
        </w:rPr>
        <w:t xml:space="preserve"> </w:t>
      </w:r>
      <w:r w:rsidR="000A4D46">
        <w:rPr>
          <w:rFonts w:ascii="AdvTTec369687" w:hAnsi="AdvTTec369687" w:cs="AdvTTec369687"/>
          <w:color w:val="000000"/>
          <w:sz w:val="23"/>
          <w:szCs w:val="23"/>
        </w:rPr>
        <w:t xml:space="preserve"> </w:t>
      </w:r>
      <w:r w:rsidR="000A4D46" w:rsidRPr="00923E85">
        <w:rPr>
          <w:rFonts w:cstheme="minorHAnsi"/>
          <w:color w:val="000000"/>
          <w:sz w:val="24"/>
          <w:szCs w:val="24"/>
        </w:rPr>
        <w:t>Bodkin-Andrew</w:t>
      </w:r>
      <w:r w:rsidR="000E10FC">
        <w:rPr>
          <w:rFonts w:cstheme="minorHAnsi"/>
          <w:color w:val="000000"/>
          <w:sz w:val="24"/>
          <w:szCs w:val="24"/>
        </w:rPr>
        <w:t>s</w:t>
      </w:r>
      <w:r w:rsidR="000A4D46" w:rsidRPr="00923E85">
        <w:rPr>
          <w:rFonts w:cstheme="minorHAnsi"/>
          <w:color w:val="000000"/>
          <w:sz w:val="24"/>
          <w:szCs w:val="24"/>
        </w:rPr>
        <w:t xml:space="preserve"> and Carlson (2016) </w:t>
      </w:r>
      <w:r w:rsidR="003C10B9" w:rsidRPr="00923E85">
        <w:rPr>
          <w:rFonts w:cstheme="minorHAnsi"/>
          <w:color w:val="000000"/>
          <w:sz w:val="24"/>
          <w:szCs w:val="24"/>
        </w:rPr>
        <w:t>identified what they termed</w:t>
      </w:r>
      <w:r w:rsidR="000A4D46" w:rsidRPr="00923E85">
        <w:rPr>
          <w:rFonts w:cstheme="minorHAnsi"/>
          <w:color w:val="000000"/>
          <w:sz w:val="24"/>
          <w:szCs w:val="24"/>
        </w:rPr>
        <w:t xml:space="preserve"> </w:t>
      </w:r>
      <w:r w:rsidR="00EA5822">
        <w:rPr>
          <w:rFonts w:cstheme="minorHAnsi"/>
          <w:color w:val="000000"/>
          <w:sz w:val="24"/>
          <w:szCs w:val="24"/>
        </w:rPr>
        <w:t>‘</w:t>
      </w:r>
      <w:r w:rsidR="000A4D46" w:rsidRPr="00923E85">
        <w:rPr>
          <w:rFonts w:cstheme="minorHAnsi"/>
          <w:color w:val="000000"/>
          <w:sz w:val="24"/>
          <w:szCs w:val="24"/>
        </w:rPr>
        <w:t>epistemological racism</w:t>
      </w:r>
      <w:r w:rsidR="00EA5822">
        <w:rPr>
          <w:rFonts w:cstheme="minorHAnsi"/>
          <w:color w:val="000000"/>
          <w:sz w:val="24"/>
          <w:szCs w:val="24"/>
        </w:rPr>
        <w:t>’</w:t>
      </w:r>
      <w:r w:rsidR="003C10B9" w:rsidRPr="00923E85">
        <w:rPr>
          <w:rFonts w:cstheme="minorHAnsi"/>
          <w:color w:val="000000"/>
          <w:sz w:val="24"/>
          <w:szCs w:val="24"/>
        </w:rPr>
        <w:t xml:space="preserve"> relating to minority groups and cultures, whereby </w:t>
      </w:r>
      <w:r w:rsidR="00EA5822">
        <w:rPr>
          <w:rFonts w:cstheme="minorHAnsi"/>
          <w:color w:val="000000"/>
          <w:sz w:val="24"/>
          <w:szCs w:val="24"/>
        </w:rPr>
        <w:lastRenderedPageBreak/>
        <w:t>‘</w:t>
      </w:r>
      <w:r w:rsidR="003C10B9" w:rsidRPr="00923E85">
        <w:rPr>
          <w:rFonts w:cstheme="minorHAnsi"/>
          <w:color w:val="000000"/>
          <w:sz w:val="24"/>
          <w:szCs w:val="24"/>
        </w:rPr>
        <w:t>researchers are waylaid within a stereotypical notion</w:t>
      </w:r>
      <w:r w:rsidR="00EA5822">
        <w:rPr>
          <w:rFonts w:cstheme="minorHAnsi"/>
          <w:color w:val="000000"/>
          <w:sz w:val="24"/>
          <w:szCs w:val="24"/>
        </w:rPr>
        <w:t>’</w:t>
      </w:r>
      <w:r w:rsidR="003C10B9" w:rsidRPr="00923E85">
        <w:rPr>
          <w:rFonts w:cstheme="minorHAnsi"/>
          <w:color w:val="000000"/>
          <w:sz w:val="24"/>
          <w:szCs w:val="24"/>
        </w:rPr>
        <w:t xml:space="preserve"> perpetrated through the social history of dominant cultures (793).</w:t>
      </w:r>
    </w:p>
    <w:p w14:paraId="7D0B1A5B" w14:textId="77777777" w:rsidR="00C20A86" w:rsidRPr="00D23B8F" w:rsidRDefault="00C20A86" w:rsidP="008B1F03">
      <w:pPr>
        <w:spacing w:after="0" w:line="480" w:lineRule="auto"/>
        <w:rPr>
          <w:rFonts w:cstheme="minorHAnsi"/>
          <w:sz w:val="24"/>
          <w:szCs w:val="24"/>
        </w:rPr>
      </w:pPr>
    </w:p>
    <w:p w14:paraId="684C2107" w14:textId="023F2D9E" w:rsidR="004B30DC" w:rsidRPr="00D23B8F" w:rsidRDefault="004C6574" w:rsidP="008B1F03">
      <w:pPr>
        <w:spacing w:after="0" w:line="480" w:lineRule="auto"/>
        <w:rPr>
          <w:rFonts w:cstheme="minorHAnsi"/>
          <w:sz w:val="24"/>
          <w:szCs w:val="24"/>
        </w:rPr>
      </w:pPr>
      <w:r w:rsidRPr="00D23B8F">
        <w:rPr>
          <w:rFonts w:cstheme="minorHAnsi"/>
          <w:sz w:val="24"/>
          <w:szCs w:val="24"/>
        </w:rPr>
        <w:t>Reflecting</w:t>
      </w:r>
      <w:r w:rsidR="000D3C5C" w:rsidRPr="00D23B8F">
        <w:rPr>
          <w:rFonts w:cstheme="minorHAnsi"/>
          <w:sz w:val="24"/>
          <w:szCs w:val="24"/>
        </w:rPr>
        <w:t xml:space="preserve"> on the </w:t>
      </w:r>
      <w:r w:rsidRPr="00D23B8F">
        <w:rPr>
          <w:rFonts w:cstheme="minorHAnsi"/>
          <w:sz w:val="24"/>
          <w:szCs w:val="24"/>
        </w:rPr>
        <w:t>issues</w:t>
      </w:r>
      <w:r w:rsidR="000D3C5C" w:rsidRPr="00D23B8F">
        <w:rPr>
          <w:rFonts w:cstheme="minorHAnsi"/>
          <w:sz w:val="24"/>
          <w:szCs w:val="24"/>
        </w:rPr>
        <w:t xml:space="preserve"> discussed above w</w:t>
      </w:r>
      <w:r w:rsidR="004B30DC" w:rsidRPr="00D23B8F">
        <w:rPr>
          <w:rFonts w:cstheme="minorHAnsi"/>
          <w:sz w:val="24"/>
          <w:szCs w:val="24"/>
        </w:rPr>
        <w:t xml:space="preserve">e argue that it is important for non-Indigenous and Indigenous participants in the sector to (re)position themselves with a clear reflective </w:t>
      </w:r>
      <w:r w:rsidR="004B30DC" w:rsidRPr="00D23B8F">
        <w:rPr>
          <w:rFonts w:cstheme="minorHAnsi"/>
          <w:iCs/>
          <w:sz w:val="24"/>
          <w:szCs w:val="24"/>
        </w:rPr>
        <w:lastRenderedPageBreak/>
        <w:t>dual lens</w:t>
      </w:r>
      <w:r w:rsidR="004B30DC" w:rsidRPr="00D23B8F">
        <w:rPr>
          <w:rFonts w:cstheme="minorHAnsi"/>
          <w:sz w:val="24"/>
          <w:szCs w:val="24"/>
        </w:rPr>
        <w:t xml:space="preserve"> (Drew, Adams</w:t>
      </w:r>
      <w:r w:rsidR="001C017F">
        <w:rPr>
          <w:rFonts w:cstheme="minorHAnsi"/>
          <w:sz w:val="24"/>
          <w:szCs w:val="24"/>
        </w:rPr>
        <w:t xml:space="preserve"> and</w:t>
      </w:r>
      <w:r w:rsidR="0080534B">
        <w:rPr>
          <w:rFonts w:cstheme="minorHAnsi"/>
          <w:sz w:val="24"/>
          <w:szCs w:val="24"/>
        </w:rPr>
        <w:t xml:space="preserve"> </w:t>
      </w:r>
      <w:r w:rsidR="004B30DC" w:rsidRPr="00D23B8F">
        <w:rPr>
          <w:rFonts w:cstheme="minorHAnsi"/>
          <w:sz w:val="24"/>
          <w:szCs w:val="24"/>
        </w:rPr>
        <w:t xml:space="preserve">Walker 2010) of whiteness and Indigenous Terms of Reference (Oxenham 2000). The </w:t>
      </w:r>
      <w:r w:rsidR="004B30DC" w:rsidRPr="00D23B8F">
        <w:rPr>
          <w:rFonts w:cstheme="minorHAnsi"/>
          <w:iCs/>
          <w:sz w:val="24"/>
          <w:szCs w:val="24"/>
        </w:rPr>
        <w:t>dual lens</w:t>
      </w:r>
      <w:r w:rsidR="004B30DC" w:rsidRPr="00D23B8F">
        <w:rPr>
          <w:rFonts w:cstheme="minorHAnsi"/>
          <w:sz w:val="24"/>
          <w:szCs w:val="24"/>
        </w:rPr>
        <w:t xml:space="preserve"> promotes simultaneous refection on the implications of white privilege (and the associated colonising practices) </w:t>
      </w:r>
      <w:r w:rsidR="004B30DC" w:rsidRPr="00D23B8F">
        <w:rPr>
          <w:rFonts w:cstheme="minorHAnsi"/>
          <w:i/>
          <w:sz w:val="24"/>
          <w:szCs w:val="24"/>
        </w:rPr>
        <w:t>and</w:t>
      </w:r>
      <w:r w:rsidR="004B30DC" w:rsidRPr="00D23B8F">
        <w:rPr>
          <w:rFonts w:cstheme="minorHAnsi"/>
          <w:sz w:val="24"/>
          <w:szCs w:val="24"/>
        </w:rPr>
        <w:t xml:space="preserve"> Indigenous worldviews for understanding this contested and complex domain (Nakata 2007; Walter 2010).  This mitigates against the dangers of </w:t>
      </w:r>
      <w:r w:rsidR="000E10FC">
        <w:rPr>
          <w:rFonts w:cstheme="minorHAnsi"/>
          <w:sz w:val="24"/>
          <w:szCs w:val="24"/>
        </w:rPr>
        <w:t>‘</w:t>
      </w:r>
      <w:r w:rsidR="004B30DC" w:rsidRPr="00D23B8F">
        <w:rPr>
          <w:rFonts w:cstheme="minorHAnsi"/>
          <w:sz w:val="24"/>
          <w:szCs w:val="24"/>
        </w:rPr>
        <w:t>separate practice</w:t>
      </w:r>
      <w:r w:rsidR="000E10FC">
        <w:rPr>
          <w:rFonts w:cstheme="minorHAnsi"/>
          <w:sz w:val="24"/>
          <w:szCs w:val="24"/>
        </w:rPr>
        <w:t>’</w:t>
      </w:r>
      <w:r w:rsidR="004B30DC" w:rsidRPr="00D23B8F">
        <w:rPr>
          <w:rFonts w:cstheme="minorHAnsi"/>
          <w:sz w:val="24"/>
          <w:szCs w:val="24"/>
        </w:rPr>
        <w:t xml:space="preserve"> and </w:t>
      </w:r>
      <w:r w:rsidR="004B30DC" w:rsidRPr="00D23B8F">
        <w:rPr>
          <w:rFonts w:cstheme="minorHAnsi"/>
          <w:sz w:val="24"/>
          <w:szCs w:val="24"/>
        </w:rPr>
        <w:lastRenderedPageBreak/>
        <w:t>promotes a deeper understanding of the intercultural space (Nakata 2013</w:t>
      </w:r>
      <w:r w:rsidR="001C017F">
        <w:rPr>
          <w:rFonts w:cstheme="minorHAnsi"/>
          <w:sz w:val="24"/>
          <w:szCs w:val="24"/>
        </w:rPr>
        <w:t>:</w:t>
      </w:r>
      <w:r w:rsidR="004B30DC" w:rsidRPr="00D23B8F">
        <w:rPr>
          <w:rFonts w:cstheme="minorHAnsi"/>
          <w:sz w:val="24"/>
          <w:szCs w:val="24"/>
        </w:rPr>
        <w:t xml:space="preserve"> 6).  The </w:t>
      </w:r>
      <w:r w:rsidR="004B30DC" w:rsidRPr="00D23B8F">
        <w:rPr>
          <w:rFonts w:cstheme="minorHAnsi"/>
          <w:iCs/>
          <w:sz w:val="24"/>
          <w:szCs w:val="24"/>
        </w:rPr>
        <w:t>dual lens</w:t>
      </w:r>
      <w:r w:rsidR="004B30DC" w:rsidRPr="00D23B8F">
        <w:rPr>
          <w:rFonts w:cstheme="minorHAnsi"/>
          <w:sz w:val="24"/>
          <w:szCs w:val="24"/>
        </w:rPr>
        <w:t xml:space="preserve"> is not about </w:t>
      </w:r>
      <w:r w:rsidR="00EA5822">
        <w:rPr>
          <w:rFonts w:cstheme="minorHAnsi"/>
          <w:sz w:val="24"/>
          <w:szCs w:val="24"/>
        </w:rPr>
        <w:t>‘</w:t>
      </w:r>
      <w:r w:rsidR="004B30DC" w:rsidRPr="00D23B8F">
        <w:rPr>
          <w:rFonts w:cstheme="minorHAnsi"/>
          <w:sz w:val="24"/>
          <w:szCs w:val="24"/>
        </w:rPr>
        <w:t>resistance to, and rejection of, Western theory and knowledge, theory and practice</w:t>
      </w:r>
      <w:r w:rsidR="00EA5822">
        <w:rPr>
          <w:rFonts w:cstheme="minorHAnsi"/>
          <w:sz w:val="24"/>
          <w:szCs w:val="24"/>
        </w:rPr>
        <w:t>’</w:t>
      </w:r>
      <w:r w:rsidR="004B30DC" w:rsidRPr="00D23B8F">
        <w:rPr>
          <w:rFonts w:cstheme="minorHAnsi"/>
          <w:sz w:val="24"/>
          <w:szCs w:val="24"/>
        </w:rPr>
        <w:t xml:space="preserve"> (Nakata 2013</w:t>
      </w:r>
      <w:r w:rsidR="001C017F">
        <w:rPr>
          <w:rFonts w:cstheme="minorHAnsi"/>
          <w:sz w:val="24"/>
          <w:szCs w:val="24"/>
        </w:rPr>
        <w:t>:</w:t>
      </w:r>
      <w:r w:rsidR="004B30DC" w:rsidRPr="00D23B8F">
        <w:rPr>
          <w:rFonts w:cstheme="minorHAnsi"/>
          <w:sz w:val="24"/>
          <w:szCs w:val="24"/>
        </w:rPr>
        <w:t xml:space="preserve"> 8), but rather about seeking a shared space</w:t>
      </w:r>
      <w:r w:rsidR="00B206E8">
        <w:rPr>
          <w:rFonts w:cstheme="minorHAnsi"/>
          <w:sz w:val="24"/>
          <w:szCs w:val="24"/>
        </w:rPr>
        <w:t xml:space="preserve">, </w:t>
      </w:r>
      <w:r w:rsidR="004F4161">
        <w:rPr>
          <w:rFonts w:cstheme="minorHAnsi"/>
          <w:sz w:val="24"/>
          <w:szCs w:val="24"/>
        </w:rPr>
        <w:t>and</w:t>
      </w:r>
      <w:r w:rsidR="00DA0F3D">
        <w:rPr>
          <w:rFonts w:cstheme="minorHAnsi"/>
          <w:sz w:val="24"/>
          <w:szCs w:val="24"/>
        </w:rPr>
        <w:t xml:space="preserve"> adjusting </w:t>
      </w:r>
      <w:r w:rsidR="00B206E8">
        <w:rPr>
          <w:rFonts w:cstheme="minorHAnsi"/>
          <w:sz w:val="24"/>
          <w:szCs w:val="24"/>
        </w:rPr>
        <w:t>the lens</w:t>
      </w:r>
      <w:r w:rsidR="00DA0F3D">
        <w:rPr>
          <w:rFonts w:cstheme="minorHAnsi"/>
          <w:sz w:val="24"/>
          <w:szCs w:val="24"/>
        </w:rPr>
        <w:t xml:space="preserve"> (Bodkin-Andrews and Carlson 2016:</w:t>
      </w:r>
      <w:r w:rsidR="00B92C66">
        <w:rPr>
          <w:rFonts w:cstheme="minorHAnsi"/>
          <w:sz w:val="24"/>
          <w:szCs w:val="24"/>
        </w:rPr>
        <w:t xml:space="preserve"> 971)</w:t>
      </w:r>
      <w:r w:rsidR="00B206E8">
        <w:rPr>
          <w:rFonts w:cstheme="minorHAnsi"/>
          <w:sz w:val="24"/>
          <w:szCs w:val="24"/>
        </w:rPr>
        <w:t>.</w:t>
      </w:r>
    </w:p>
    <w:p w14:paraId="4B9C034D" w14:textId="77777777" w:rsidR="004B30DC" w:rsidRPr="00D23B8F" w:rsidRDefault="004B30DC" w:rsidP="008B1F03">
      <w:pPr>
        <w:spacing w:after="0" w:line="480" w:lineRule="auto"/>
        <w:rPr>
          <w:rFonts w:cstheme="minorHAnsi"/>
          <w:sz w:val="24"/>
          <w:szCs w:val="24"/>
        </w:rPr>
      </w:pPr>
    </w:p>
    <w:p w14:paraId="3B37812E" w14:textId="43C2170B" w:rsidR="004B30DC" w:rsidRPr="00D23B8F" w:rsidRDefault="004B30DC" w:rsidP="008B1F03">
      <w:pPr>
        <w:spacing w:after="0" w:line="480" w:lineRule="auto"/>
        <w:rPr>
          <w:rFonts w:cstheme="minorHAnsi"/>
          <w:sz w:val="24"/>
          <w:szCs w:val="24"/>
        </w:rPr>
      </w:pPr>
      <w:r w:rsidRPr="00D23B8F">
        <w:rPr>
          <w:rFonts w:cstheme="minorHAnsi"/>
          <w:sz w:val="24"/>
          <w:szCs w:val="24"/>
        </w:rPr>
        <w:lastRenderedPageBreak/>
        <w:t>A commitment to privileging Aboriginal and Torres Strait Islander knowledge is a recognition that data and statistics are not value free; they are sociocultural, historical and political constructions that serve particular agendas</w:t>
      </w:r>
      <w:r w:rsidR="000C7E60">
        <w:rPr>
          <w:rFonts w:cstheme="minorHAnsi"/>
          <w:sz w:val="24"/>
          <w:szCs w:val="24"/>
        </w:rPr>
        <w:t xml:space="preserve"> (Walter 2010)</w:t>
      </w:r>
      <w:r w:rsidRPr="00D23B8F">
        <w:rPr>
          <w:rFonts w:cstheme="minorHAnsi"/>
          <w:sz w:val="24"/>
          <w:szCs w:val="24"/>
        </w:rPr>
        <w:t xml:space="preserve">.  When situated within the intercultural space in the </w:t>
      </w:r>
      <w:r w:rsidRPr="00D23B8F">
        <w:rPr>
          <w:rFonts w:cstheme="minorHAnsi"/>
          <w:sz w:val="24"/>
          <w:szCs w:val="24"/>
        </w:rPr>
        <w:lastRenderedPageBreak/>
        <w:t xml:space="preserve">way argued by Nakata (2013) </w:t>
      </w:r>
      <w:r w:rsidR="004A0E50">
        <w:rPr>
          <w:rFonts w:cstheme="minorHAnsi"/>
          <w:sz w:val="24"/>
          <w:szCs w:val="24"/>
        </w:rPr>
        <w:t xml:space="preserve">they </w:t>
      </w:r>
      <w:r w:rsidRPr="00D23B8F">
        <w:rPr>
          <w:rFonts w:cstheme="minorHAnsi"/>
          <w:sz w:val="24"/>
          <w:szCs w:val="24"/>
        </w:rPr>
        <w:t xml:space="preserve">become a site for authentic critical reflection on practices that serve to reproduce rather than transform. </w:t>
      </w:r>
    </w:p>
    <w:p w14:paraId="5B63A43E" w14:textId="77777777" w:rsidR="004B30DC" w:rsidRPr="00D23B8F" w:rsidRDefault="004B30DC" w:rsidP="008B1F03">
      <w:pPr>
        <w:spacing w:line="480" w:lineRule="auto"/>
        <w:rPr>
          <w:rFonts w:cstheme="minorHAnsi"/>
        </w:rPr>
      </w:pPr>
    </w:p>
    <w:p w14:paraId="18A0B2E5" w14:textId="77777777" w:rsidR="004B30DC" w:rsidRPr="00D23B8F" w:rsidRDefault="004B30DC" w:rsidP="008B1F03">
      <w:pPr>
        <w:spacing w:before="240" w:after="240" w:line="480" w:lineRule="auto"/>
        <w:rPr>
          <w:rFonts w:cstheme="minorHAnsi"/>
          <w:sz w:val="24"/>
          <w:szCs w:val="24"/>
        </w:rPr>
      </w:pPr>
      <w:r w:rsidRPr="00D23B8F">
        <w:rPr>
          <w:rFonts w:cstheme="minorHAnsi"/>
          <w:sz w:val="24"/>
          <w:szCs w:val="24"/>
        </w:rPr>
        <w:t>Strongly related to this is the importance of developing a strengths-based narrative</w:t>
      </w:r>
      <w:r w:rsidR="00452F6D">
        <w:rPr>
          <w:rFonts w:cstheme="minorHAnsi"/>
          <w:sz w:val="24"/>
          <w:szCs w:val="24"/>
        </w:rPr>
        <w:t xml:space="preserve"> (</w:t>
      </w:r>
      <w:r w:rsidR="00500974">
        <w:rPr>
          <w:rFonts w:cstheme="minorHAnsi"/>
          <w:sz w:val="24"/>
          <w:szCs w:val="24"/>
        </w:rPr>
        <w:t xml:space="preserve">Sarra 2011; </w:t>
      </w:r>
      <w:r w:rsidR="000C7E60">
        <w:rPr>
          <w:rFonts w:cstheme="minorHAnsi"/>
          <w:sz w:val="24"/>
          <w:szCs w:val="24"/>
        </w:rPr>
        <w:t>Gorringe 2011;</w:t>
      </w:r>
      <w:r w:rsidR="005F78AC">
        <w:rPr>
          <w:rFonts w:cstheme="minorHAnsi"/>
          <w:sz w:val="24"/>
          <w:szCs w:val="24"/>
        </w:rPr>
        <w:t xml:space="preserve"> Kukutai and Walter 2015)</w:t>
      </w:r>
      <w:r w:rsidRPr="00D23B8F">
        <w:rPr>
          <w:rFonts w:cstheme="minorHAnsi"/>
          <w:sz w:val="24"/>
          <w:szCs w:val="24"/>
        </w:rPr>
        <w:t xml:space="preserve">.  </w:t>
      </w:r>
      <w:r w:rsidR="00F53037" w:rsidRPr="00D23B8F">
        <w:rPr>
          <w:rFonts w:cstheme="minorHAnsi"/>
          <w:sz w:val="24"/>
          <w:szCs w:val="24"/>
        </w:rPr>
        <w:t>Discourses within the</w:t>
      </w:r>
      <w:r w:rsidRPr="00D23B8F">
        <w:rPr>
          <w:rFonts w:cstheme="minorHAnsi"/>
          <w:sz w:val="24"/>
          <w:szCs w:val="24"/>
        </w:rPr>
        <w:t xml:space="preserve"> Aboriginal </w:t>
      </w:r>
      <w:r w:rsidRPr="00D23B8F">
        <w:rPr>
          <w:rFonts w:cstheme="minorHAnsi"/>
          <w:sz w:val="24"/>
          <w:szCs w:val="24"/>
        </w:rPr>
        <w:lastRenderedPageBreak/>
        <w:t xml:space="preserve">and Torres Strait Islander </w:t>
      </w:r>
      <w:r w:rsidR="003A2528" w:rsidRPr="00D23B8F">
        <w:rPr>
          <w:rFonts w:cstheme="minorHAnsi"/>
          <w:sz w:val="24"/>
          <w:szCs w:val="24"/>
        </w:rPr>
        <w:t xml:space="preserve">domain </w:t>
      </w:r>
      <w:r w:rsidR="00F53037" w:rsidRPr="00D23B8F">
        <w:rPr>
          <w:rFonts w:cstheme="minorHAnsi"/>
          <w:sz w:val="24"/>
          <w:szCs w:val="24"/>
        </w:rPr>
        <w:t xml:space="preserve">are </w:t>
      </w:r>
      <w:r w:rsidRPr="00D23B8F">
        <w:rPr>
          <w:rFonts w:cstheme="minorHAnsi"/>
          <w:sz w:val="24"/>
          <w:szCs w:val="24"/>
        </w:rPr>
        <w:t xml:space="preserve">replete with deficit-based thinking that has infused public policy and debate for many years.  Walter (2010) described many data collections as the </w:t>
      </w:r>
      <w:r w:rsidR="001C017F">
        <w:rPr>
          <w:rFonts w:cstheme="minorHAnsi"/>
          <w:sz w:val="24"/>
          <w:szCs w:val="24"/>
        </w:rPr>
        <w:t>‘</w:t>
      </w:r>
      <w:r w:rsidRPr="00D23B8F">
        <w:rPr>
          <w:rFonts w:cstheme="minorHAnsi"/>
          <w:sz w:val="24"/>
          <w:szCs w:val="24"/>
        </w:rPr>
        <w:t>…statistical portrayal of Indigenous dysfunction</w:t>
      </w:r>
      <w:r w:rsidR="001C017F">
        <w:rPr>
          <w:rFonts w:cstheme="minorHAnsi"/>
          <w:sz w:val="24"/>
          <w:szCs w:val="24"/>
        </w:rPr>
        <w:t>’</w:t>
      </w:r>
      <w:r w:rsidRPr="00D23B8F">
        <w:rPr>
          <w:rFonts w:cstheme="minorHAnsi"/>
          <w:sz w:val="24"/>
          <w:szCs w:val="24"/>
        </w:rPr>
        <w:t xml:space="preserve"> (45). </w:t>
      </w:r>
      <w:r w:rsidR="00C02772" w:rsidRPr="00D23B8F">
        <w:rPr>
          <w:rFonts w:cstheme="minorHAnsi"/>
          <w:sz w:val="24"/>
          <w:szCs w:val="24"/>
        </w:rPr>
        <w:t>Perversely, d</w:t>
      </w:r>
      <w:r w:rsidRPr="00D23B8F">
        <w:rPr>
          <w:rFonts w:cstheme="minorHAnsi"/>
          <w:sz w:val="24"/>
          <w:szCs w:val="24"/>
        </w:rPr>
        <w:t xml:space="preserve">eficit thinking has served to promulgate </w:t>
      </w:r>
      <w:r w:rsidRPr="00D23B8F">
        <w:rPr>
          <w:rFonts w:cstheme="minorHAnsi"/>
          <w:sz w:val="24"/>
          <w:szCs w:val="24"/>
        </w:rPr>
        <w:lastRenderedPageBreak/>
        <w:t xml:space="preserve">policies, practices, services and programs that further marginalise Aboriginal and Torres Strait Islanders in Australian society.  </w:t>
      </w:r>
    </w:p>
    <w:p w14:paraId="67FBC2E5" w14:textId="77777777" w:rsidR="004B30DC" w:rsidRPr="00D23B8F" w:rsidRDefault="00C02772" w:rsidP="008B1F03">
      <w:pPr>
        <w:spacing w:line="480" w:lineRule="auto"/>
        <w:rPr>
          <w:rFonts w:cstheme="minorHAnsi"/>
          <w:sz w:val="24"/>
          <w:szCs w:val="24"/>
        </w:rPr>
      </w:pPr>
      <w:r w:rsidRPr="00D23B8F">
        <w:rPr>
          <w:rFonts w:cstheme="minorHAnsi"/>
          <w:sz w:val="24"/>
          <w:szCs w:val="24"/>
        </w:rPr>
        <w:t>The deficit approach underlies much comparative data, and binary or dichotomous thinking (Nakata 2013; Walter 2010</w:t>
      </w:r>
      <w:r w:rsidR="005F78AC">
        <w:rPr>
          <w:rFonts w:cstheme="minorHAnsi"/>
          <w:sz w:val="24"/>
          <w:szCs w:val="24"/>
        </w:rPr>
        <w:t>; Kukutai and Walter 2015</w:t>
      </w:r>
      <w:r w:rsidRPr="00D23B8F">
        <w:rPr>
          <w:rFonts w:cstheme="minorHAnsi"/>
          <w:sz w:val="24"/>
          <w:szCs w:val="24"/>
        </w:rPr>
        <w:t>).  For instance</w:t>
      </w:r>
      <w:r w:rsidR="0057331A">
        <w:rPr>
          <w:rFonts w:cstheme="minorHAnsi"/>
          <w:sz w:val="24"/>
          <w:szCs w:val="24"/>
        </w:rPr>
        <w:t>,</w:t>
      </w:r>
      <w:r w:rsidRPr="00D23B8F">
        <w:rPr>
          <w:rFonts w:cstheme="minorHAnsi"/>
          <w:sz w:val="24"/>
          <w:szCs w:val="24"/>
        </w:rPr>
        <w:t xml:space="preserve"> </w:t>
      </w:r>
      <w:r w:rsidR="004B30DC" w:rsidRPr="00D23B8F">
        <w:rPr>
          <w:rFonts w:cstheme="minorHAnsi"/>
          <w:sz w:val="24"/>
          <w:szCs w:val="24"/>
        </w:rPr>
        <w:t>Walter (2010) provides an excellent example of strength-based versus deficit-</w:t>
      </w:r>
      <w:r w:rsidR="004B30DC" w:rsidRPr="00D23B8F">
        <w:rPr>
          <w:rFonts w:cstheme="minorHAnsi"/>
          <w:sz w:val="24"/>
          <w:szCs w:val="24"/>
        </w:rPr>
        <w:lastRenderedPageBreak/>
        <w:t xml:space="preserve">based </w:t>
      </w:r>
      <w:r w:rsidRPr="00D23B8F">
        <w:rPr>
          <w:rFonts w:cstheme="minorHAnsi"/>
          <w:sz w:val="24"/>
          <w:szCs w:val="24"/>
        </w:rPr>
        <w:t xml:space="preserve">thinking </w:t>
      </w:r>
      <w:r w:rsidR="004B30DC" w:rsidRPr="00D23B8F">
        <w:rPr>
          <w:rFonts w:cstheme="minorHAnsi"/>
          <w:sz w:val="24"/>
          <w:szCs w:val="24"/>
        </w:rPr>
        <w:t>by contrasting</w:t>
      </w:r>
      <w:r w:rsidRPr="00D23B8F">
        <w:rPr>
          <w:rFonts w:cstheme="minorHAnsi"/>
          <w:sz w:val="24"/>
          <w:szCs w:val="24"/>
        </w:rPr>
        <w:t xml:space="preserve"> the question</w:t>
      </w:r>
      <w:r w:rsidR="004B30DC" w:rsidRPr="00D23B8F">
        <w:rPr>
          <w:rFonts w:cstheme="minorHAnsi"/>
          <w:sz w:val="24"/>
          <w:szCs w:val="24"/>
        </w:rPr>
        <w:t xml:space="preserve"> </w:t>
      </w:r>
      <w:r w:rsidR="001C017F">
        <w:rPr>
          <w:rFonts w:cstheme="minorHAnsi"/>
          <w:sz w:val="24"/>
          <w:szCs w:val="24"/>
        </w:rPr>
        <w:t>‘</w:t>
      </w:r>
      <w:r w:rsidR="004B30DC" w:rsidRPr="00D23B8F">
        <w:rPr>
          <w:rFonts w:cstheme="minorHAnsi"/>
          <w:sz w:val="24"/>
          <w:szCs w:val="24"/>
        </w:rPr>
        <w:t>How do Indigenous people grow strong</w:t>
      </w:r>
      <w:r w:rsidRPr="00D23B8F">
        <w:rPr>
          <w:rFonts w:cstheme="minorHAnsi"/>
          <w:sz w:val="24"/>
          <w:szCs w:val="24"/>
        </w:rPr>
        <w:t>?</w:t>
      </w:r>
      <w:r w:rsidR="001C017F">
        <w:rPr>
          <w:rFonts w:cstheme="minorHAnsi"/>
          <w:sz w:val="24"/>
          <w:szCs w:val="24"/>
        </w:rPr>
        <w:t>’</w:t>
      </w:r>
      <w:r w:rsidR="004B30DC" w:rsidRPr="00D23B8F">
        <w:rPr>
          <w:rFonts w:cstheme="minorHAnsi"/>
          <w:sz w:val="24"/>
          <w:szCs w:val="24"/>
        </w:rPr>
        <w:t xml:space="preserve"> </w:t>
      </w:r>
      <w:r w:rsidRPr="00D23B8F">
        <w:rPr>
          <w:rFonts w:cstheme="minorHAnsi"/>
          <w:sz w:val="24"/>
          <w:szCs w:val="24"/>
        </w:rPr>
        <w:t>with</w:t>
      </w:r>
      <w:r w:rsidR="00D75E81" w:rsidRPr="00D23B8F">
        <w:rPr>
          <w:rFonts w:cstheme="minorHAnsi"/>
          <w:sz w:val="24"/>
          <w:szCs w:val="24"/>
        </w:rPr>
        <w:t xml:space="preserve"> </w:t>
      </w:r>
      <w:r w:rsidR="001C017F">
        <w:rPr>
          <w:rFonts w:cstheme="minorHAnsi"/>
          <w:sz w:val="24"/>
          <w:szCs w:val="24"/>
        </w:rPr>
        <w:t>‘</w:t>
      </w:r>
      <w:r w:rsidR="004B30DC" w:rsidRPr="00D23B8F">
        <w:rPr>
          <w:rFonts w:cstheme="minorHAnsi"/>
          <w:sz w:val="24"/>
          <w:szCs w:val="24"/>
        </w:rPr>
        <w:t>How poorly do Indigenous children perform compared to non-Indigenous children</w:t>
      </w:r>
      <w:r w:rsidRPr="00D23B8F">
        <w:rPr>
          <w:rFonts w:cstheme="minorHAnsi"/>
          <w:sz w:val="24"/>
          <w:szCs w:val="24"/>
        </w:rPr>
        <w:t>?</w:t>
      </w:r>
      <w:r w:rsidR="0080534B">
        <w:rPr>
          <w:rFonts w:cstheme="minorHAnsi"/>
          <w:sz w:val="24"/>
          <w:szCs w:val="24"/>
        </w:rPr>
        <w:t>’</w:t>
      </w:r>
      <w:r w:rsidR="004B30DC" w:rsidRPr="00D23B8F">
        <w:rPr>
          <w:rFonts w:cstheme="minorHAnsi"/>
          <w:sz w:val="24"/>
          <w:szCs w:val="24"/>
        </w:rPr>
        <w:t xml:space="preserve"> (53).  </w:t>
      </w:r>
    </w:p>
    <w:p w14:paraId="4070C4E0" w14:textId="77777777" w:rsidR="0061776A" w:rsidRPr="00D23B8F" w:rsidRDefault="00A96B82" w:rsidP="008B1F03">
      <w:pPr>
        <w:pStyle w:val="Heading2"/>
        <w:spacing w:line="480" w:lineRule="auto"/>
        <w:ind w:left="0"/>
        <w:rPr>
          <w:rFonts w:asciiTheme="minorHAnsi" w:hAnsiTheme="minorHAnsi" w:cstheme="minorHAnsi"/>
        </w:rPr>
      </w:pPr>
      <w:r w:rsidRPr="00D23B8F">
        <w:rPr>
          <w:rFonts w:asciiTheme="minorHAnsi" w:hAnsiTheme="minorHAnsi" w:cstheme="minorHAnsi"/>
        </w:rPr>
        <w:lastRenderedPageBreak/>
        <w:t xml:space="preserve">The </w:t>
      </w:r>
      <w:r w:rsidR="00A8591A" w:rsidRPr="00D23B8F">
        <w:rPr>
          <w:rFonts w:asciiTheme="minorHAnsi" w:hAnsiTheme="minorHAnsi" w:cstheme="minorHAnsi"/>
        </w:rPr>
        <w:t xml:space="preserve">use </w:t>
      </w:r>
      <w:r w:rsidR="0061776A" w:rsidRPr="00D23B8F">
        <w:rPr>
          <w:rFonts w:asciiTheme="minorHAnsi" w:hAnsiTheme="minorHAnsi" w:cstheme="minorHAnsi"/>
        </w:rPr>
        <w:t>and abuse of statistics</w:t>
      </w:r>
    </w:p>
    <w:p w14:paraId="413D9E9D" w14:textId="7D0AA8C0" w:rsidR="00041970" w:rsidRPr="00D23B8F" w:rsidRDefault="00C02772" w:rsidP="008B1F03">
      <w:pPr>
        <w:spacing w:after="0" w:line="480" w:lineRule="auto"/>
        <w:rPr>
          <w:rFonts w:cstheme="minorHAnsi"/>
          <w:sz w:val="24"/>
          <w:szCs w:val="24"/>
        </w:rPr>
      </w:pPr>
      <w:r w:rsidRPr="00D23B8F">
        <w:rPr>
          <w:rFonts w:cstheme="minorHAnsi"/>
          <w:sz w:val="24"/>
          <w:szCs w:val="24"/>
        </w:rPr>
        <w:t>At the simplest level d</w:t>
      </w:r>
      <w:r w:rsidR="00041970" w:rsidRPr="00D23B8F">
        <w:rPr>
          <w:rFonts w:cstheme="minorHAnsi"/>
          <w:sz w:val="24"/>
          <w:szCs w:val="24"/>
        </w:rPr>
        <w:t>ata</w:t>
      </w:r>
      <w:r w:rsidR="00D01694" w:rsidRPr="00D23B8F">
        <w:rPr>
          <w:rFonts w:cstheme="minorHAnsi"/>
          <w:sz w:val="24"/>
          <w:szCs w:val="24"/>
        </w:rPr>
        <w:t xml:space="preserve"> </w:t>
      </w:r>
      <w:r w:rsidR="00D12DF7" w:rsidRPr="00D23B8F">
        <w:rPr>
          <w:rFonts w:cstheme="minorHAnsi"/>
          <w:sz w:val="24"/>
          <w:szCs w:val="24"/>
        </w:rPr>
        <w:t>are</w:t>
      </w:r>
      <w:r w:rsidR="00041970" w:rsidRPr="00D23B8F">
        <w:rPr>
          <w:rFonts w:cstheme="minorHAnsi"/>
          <w:sz w:val="24"/>
          <w:szCs w:val="24"/>
        </w:rPr>
        <w:t xml:space="preserve"> indicators or building blocks, and nothing more </w:t>
      </w:r>
      <w:r w:rsidR="00041970" w:rsidRPr="00D23B8F">
        <w:rPr>
          <w:rFonts w:cstheme="minorHAnsi"/>
          <w:noProof/>
          <w:sz w:val="24"/>
          <w:szCs w:val="24"/>
        </w:rPr>
        <w:t>(Broadbent 2004)</w:t>
      </w:r>
      <w:r w:rsidR="00041970" w:rsidRPr="00D23B8F">
        <w:rPr>
          <w:rFonts w:cstheme="minorHAnsi"/>
          <w:sz w:val="24"/>
          <w:szCs w:val="24"/>
        </w:rPr>
        <w:t>.</w:t>
      </w:r>
      <w:r w:rsidR="00041970" w:rsidRPr="00D23B8F">
        <w:rPr>
          <w:rStyle w:val="FootnoteReference"/>
          <w:rFonts w:asciiTheme="minorHAnsi" w:hAnsiTheme="minorHAnsi" w:cstheme="minorHAnsi"/>
          <w:sz w:val="24"/>
          <w:szCs w:val="24"/>
        </w:rPr>
        <w:footnoteReference w:id="4"/>
      </w:r>
      <w:r w:rsidR="00041970" w:rsidRPr="00D23B8F">
        <w:rPr>
          <w:rFonts w:cstheme="minorHAnsi"/>
          <w:sz w:val="24"/>
          <w:szCs w:val="24"/>
        </w:rPr>
        <w:t xml:space="preserve">  However, once converted into statistics they assume the power to persuade</w:t>
      </w:r>
      <w:r w:rsidR="00024930" w:rsidRPr="00D23B8F">
        <w:rPr>
          <w:rStyle w:val="FootnoteReference"/>
          <w:rFonts w:asciiTheme="minorHAnsi" w:hAnsiTheme="minorHAnsi" w:cstheme="minorHAnsi"/>
          <w:szCs w:val="24"/>
        </w:rPr>
        <w:footnoteReference w:id="5"/>
      </w:r>
      <w:r w:rsidR="00291888" w:rsidRPr="00D23B8F">
        <w:rPr>
          <w:rFonts w:cstheme="minorHAnsi"/>
          <w:sz w:val="24"/>
          <w:szCs w:val="24"/>
        </w:rPr>
        <w:t>,</w:t>
      </w:r>
      <w:r w:rsidR="00041970" w:rsidRPr="00D23B8F">
        <w:rPr>
          <w:rFonts w:cstheme="minorHAnsi"/>
          <w:sz w:val="24"/>
          <w:szCs w:val="24"/>
        </w:rPr>
        <w:t xml:space="preserve"> </w:t>
      </w:r>
      <w:r w:rsidR="00041970" w:rsidRPr="00D23B8F">
        <w:rPr>
          <w:rFonts w:cstheme="minorHAnsi"/>
          <w:sz w:val="24"/>
          <w:szCs w:val="24"/>
        </w:rPr>
        <w:lastRenderedPageBreak/>
        <w:t xml:space="preserve">and as Walter </w:t>
      </w:r>
      <w:r w:rsidR="00041970" w:rsidRPr="00D23B8F">
        <w:rPr>
          <w:rFonts w:cstheme="minorHAnsi"/>
          <w:noProof/>
          <w:sz w:val="24"/>
          <w:szCs w:val="24"/>
        </w:rPr>
        <w:t>(2010</w:t>
      </w:r>
      <w:r w:rsidR="001C017F">
        <w:rPr>
          <w:rFonts w:cstheme="minorHAnsi"/>
          <w:noProof/>
          <w:sz w:val="24"/>
          <w:szCs w:val="24"/>
        </w:rPr>
        <w:t xml:space="preserve">: </w:t>
      </w:r>
      <w:r w:rsidR="00041970" w:rsidRPr="00D23B8F">
        <w:rPr>
          <w:rFonts w:cstheme="minorHAnsi"/>
          <w:noProof/>
          <w:sz w:val="24"/>
          <w:szCs w:val="24"/>
        </w:rPr>
        <w:t>53)</w:t>
      </w:r>
      <w:r w:rsidR="00041970" w:rsidRPr="00D23B8F">
        <w:rPr>
          <w:rFonts w:cstheme="minorHAnsi"/>
          <w:sz w:val="24"/>
          <w:szCs w:val="24"/>
        </w:rPr>
        <w:t xml:space="preserve"> </w:t>
      </w:r>
      <w:r w:rsidR="00466E17" w:rsidRPr="00D23B8F">
        <w:rPr>
          <w:rFonts w:cstheme="minorHAnsi"/>
          <w:sz w:val="24"/>
          <w:szCs w:val="24"/>
        </w:rPr>
        <w:t>pointed out</w:t>
      </w:r>
      <w:r w:rsidR="004919F0">
        <w:rPr>
          <w:rFonts w:cstheme="minorHAnsi"/>
          <w:sz w:val="24"/>
          <w:szCs w:val="24"/>
        </w:rPr>
        <w:t>: ‘</w:t>
      </w:r>
      <w:r w:rsidR="00041970" w:rsidRPr="00D23B8F">
        <w:rPr>
          <w:rFonts w:cstheme="minorHAnsi"/>
          <w:sz w:val="24"/>
          <w:szCs w:val="24"/>
        </w:rPr>
        <w:t>Statistics do not lie, but neithe</w:t>
      </w:r>
      <w:r w:rsidR="004919F0">
        <w:rPr>
          <w:rFonts w:cstheme="minorHAnsi"/>
          <w:sz w:val="24"/>
          <w:szCs w:val="24"/>
        </w:rPr>
        <w:t>r do they always tell the truth’</w:t>
      </w:r>
      <w:r w:rsidR="00041970" w:rsidRPr="00D23B8F">
        <w:rPr>
          <w:rFonts w:cstheme="minorHAnsi"/>
          <w:sz w:val="24"/>
          <w:szCs w:val="24"/>
        </w:rPr>
        <w:t xml:space="preserve">.  Statistics, despite their illusion of </w:t>
      </w:r>
      <w:r w:rsidR="000E10FC">
        <w:rPr>
          <w:rFonts w:cstheme="minorHAnsi"/>
          <w:sz w:val="24"/>
          <w:szCs w:val="24"/>
        </w:rPr>
        <w:t>‘</w:t>
      </w:r>
      <w:r w:rsidR="00041970" w:rsidRPr="00D23B8F">
        <w:rPr>
          <w:rFonts w:cstheme="minorHAnsi"/>
          <w:sz w:val="24"/>
          <w:szCs w:val="24"/>
        </w:rPr>
        <w:t>value-neutrality</w:t>
      </w:r>
      <w:r w:rsidR="000E10FC">
        <w:rPr>
          <w:rFonts w:cstheme="minorHAnsi"/>
          <w:sz w:val="24"/>
          <w:szCs w:val="24"/>
        </w:rPr>
        <w:t>’</w:t>
      </w:r>
      <w:r w:rsidR="00041970" w:rsidRPr="00D23B8F">
        <w:rPr>
          <w:rFonts w:cstheme="minorHAnsi"/>
          <w:sz w:val="24"/>
          <w:szCs w:val="24"/>
        </w:rPr>
        <w:t xml:space="preserve"> </w:t>
      </w:r>
      <w:r w:rsidR="00041970" w:rsidRPr="00D23B8F">
        <w:rPr>
          <w:rFonts w:cstheme="minorHAnsi"/>
          <w:noProof/>
          <w:sz w:val="24"/>
          <w:szCs w:val="24"/>
        </w:rPr>
        <w:t>(Jordan, Bulloch</w:t>
      </w:r>
      <w:r w:rsidR="001C017F">
        <w:rPr>
          <w:rFonts w:cstheme="minorHAnsi"/>
          <w:noProof/>
          <w:sz w:val="24"/>
          <w:szCs w:val="24"/>
        </w:rPr>
        <w:t xml:space="preserve"> and</w:t>
      </w:r>
      <w:r w:rsidR="00041970" w:rsidRPr="00D23B8F">
        <w:rPr>
          <w:rFonts w:cstheme="minorHAnsi"/>
          <w:noProof/>
          <w:sz w:val="24"/>
          <w:szCs w:val="24"/>
        </w:rPr>
        <w:t xml:space="preserve"> </w:t>
      </w:r>
      <w:r w:rsidR="00041970" w:rsidRPr="00D23B8F">
        <w:rPr>
          <w:rFonts w:cstheme="minorHAnsi"/>
          <w:noProof/>
          <w:sz w:val="24"/>
          <w:szCs w:val="24"/>
        </w:rPr>
        <w:lastRenderedPageBreak/>
        <w:t>Buchanan 2010</w:t>
      </w:r>
      <w:r w:rsidR="001C017F">
        <w:rPr>
          <w:rFonts w:cstheme="minorHAnsi"/>
          <w:noProof/>
          <w:sz w:val="24"/>
          <w:szCs w:val="24"/>
        </w:rPr>
        <w:t xml:space="preserve">: </w:t>
      </w:r>
      <w:r w:rsidR="00041970" w:rsidRPr="00D23B8F">
        <w:rPr>
          <w:rFonts w:cstheme="minorHAnsi"/>
          <w:noProof/>
          <w:sz w:val="24"/>
          <w:szCs w:val="24"/>
        </w:rPr>
        <w:t>352)</w:t>
      </w:r>
      <w:r w:rsidR="00041970" w:rsidRPr="00D23B8F">
        <w:rPr>
          <w:rFonts w:cstheme="minorHAnsi"/>
          <w:sz w:val="24"/>
          <w:szCs w:val="24"/>
        </w:rPr>
        <w:t xml:space="preserve">, exist within the frameworks in which they are interpreted and </w:t>
      </w:r>
      <w:r w:rsidR="00D75E81" w:rsidRPr="00D23B8F">
        <w:rPr>
          <w:rFonts w:cstheme="minorHAnsi"/>
          <w:sz w:val="24"/>
          <w:szCs w:val="24"/>
        </w:rPr>
        <w:t xml:space="preserve">used </w:t>
      </w:r>
      <w:r w:rsidR="00041970" w:rsidRPr="00D23B8F">
        <w:rPr>
          <w:rFonts w:cstheme="minorHAnsi"/>
          <w:sz w:val="24"/>
          <w:szCs w:val="24"/>
        </w:rPr>
        <w:t>to inform cultural, social, economic, and/or political understanding and action.</w:t>
      </w:r>
    </w:p>
    <w:p w14:paraId="73FAD3AF" w14:textId="77777777" w:rsidR="00041970" w:rsidRPr="00D23B8F" w:rsidRDefault="00041970" w:rsidP="008B1F03">
      <w:pPr>
        <w:spacing w:after="0" w:line="480" w:lineRule="auto"/>
        <w:rPr>
          <w:rFonts w:cstheme="minorHAnsi"/>
          <w:sz w:val="24"/>
          <w:szCs w:val="24"/>
        </w:rPr>
      </w:pPr>
    </w:p>
    <w:p w14:paraId="7897DAEE" w14:textId="25CEE337" w:rsidR="00041970" w:rsidRPr="00D23B8F" w:rsidRDefault="00041970" w:rsidP="008B1F03">
      <w:pPr>
        <w:spacing w:after="0" w:line="480" w:lineRule="auto"/>
        <w:rPr>
          <w:rFonts w:cstheme="minorHAnsi"/>
          <w:sz w:val="24"/>
          <w:szCs w:val="24"/>
        </w:rPr>
      </w:pPr>
      <w:r w:rsidRPr="00D23B8F">
        <w:rPr>
          <w:rFonts w:cstheme="minorHAnsi"/>
          <w:sz w:val="24"/>
          <w:szCs w:val="24"/>
        </w:rPr>
        <w:t xml:space="preserve">The underlying factors and knowledge bases involved in the understanding (and misunderstanding) of statistics indicate </w:t>
      </w:r>
      <w:r w:rsidRPr="00D23B8F">
        <w:rPr>
          <w:rFonts w:cstheme="minorHAnsi"/>
          <w:sz w:val="24"/>
          <w:szCs w:val="24"/>
        </w:rPr>
        <w:lastRenderedPageBreak/>
        <w:t xml:space="preserve">the complexities of this </w:t>
      </w:r>
      <w:r w:rsidR="00D12DF7" w:rsidRPr="00D23B8F">
        <w:rPr>
          <w:rFonts w:cstheme="minorHAnsi"/>
          <w:sz w:val="24"/>
          <w:szCs w:val="24"/>
        </w:rPr>
        <w:t>domain</w:t>
      </w:r>
      <w:r w:rsidRPr="00D23B8F">
        <w:rPr>
          <w:rFonts w:cstheme="minorHAnsi"/>
          <w:sz w:val="24"/>
          <w:szCs w:val="24"/>
        </w:rPr>
        <w:t xml:space="preserve"> </w:t>
      </w:r>
      <w:r w:rsidRPr="00D23B8F">
        <w:rPr>
          <w:rFonts w:cstheme="minorHAnsi"/>
          <w:noProof/>
          <w:sz w:val="24"/>
          <w:szCs w:val="24"/>
        </w:rPr>
        <w:t>(Gal 2002)</w:t>
      </w:r>
      <w:r w:rsidRPr="00D23B8F">
        <w:rPr>
          <w:rFonts w:cstheme="minorHAnsi"/>
          <w:sz w:val="24"/>
          <w:szCs w:val="24"/>
        </w:rPr>
        <w:t>. Broadly speaking</w:t>
      </w:r>
      <w:r w:rsidR="006E3332" w:rsidRPr="00D23B8F">
        <w:rPr>
          <w:rFonts w:cstheme="minorHAnsi"/>
          <w:sz w:val="24"/>
          <w:szCs w:val="24"/>
        </w:rPr>
        <w:t>,</w:t>
      </w:r>
      <w:r w:rsidR="00B20266">
        <w:rPr>
          <w:rFonts w:cstheme="minorHAnsi"/>
          <w:sz w:val="24"/>
          <w:szCs w:val="24"/>
        </w:rPr>
        <w:t xml:space="preserve"> as enunciated by Broadbent (2004),</w:t>
      </w:r>
      <w:r w:rsidRPr="00D23B8F">
        <w:rPr>
          <w:rFonts w:cstheme="minorHAnsi"/>
          <w:sz w:val="24"/>
          <w:szCs w:val="24"/>
        </w:rPr>
        <w:t xml:space="preserve"> the issues relating to the misleading or deceptive use of statistics may be categorised as one or more of the following: </w:t>
      </w:r>
    </w:p>
    <w:p w14:paraId="74B6CE20" w14:textId="77777777" w:rsidR="00041970" w:rsidRPr="00D23B8F" w:rsidRDefault="00041970" w:rsidP="008B1F03">
      <w:pPr>
        <w:spacing w:after="0" w:line="480" w:lineRule="auto"/>
        <w:rPr>
          <w:rFonts w:cstheme="minorHAnsi"/>
          <w:sz w:val="24"/>
          <w:szCs w:val="24"/>
        </w:rPr>
      </w:pPr>
    </w:p>
    <w:p w14:paraId="240E9099" w14:textId="77777777" w:rsidR="00041970" w:rsidRPr="00D23B8F" w:rsidRDefault="005A5FB3" w:rsidP="008B1F03">
      <w:pPr>
        <w:spacing w:after="0" w:line="480" w:lineRule="auto"/>
        <w:ind w:left="1134"/>
        <w:rPr>
          <w:rFonts w:cstheme="minorHAnsi"/>
          <w:sz w:val="24"/>
          <w:szCs w:val="24"/>
        </w:rPr>
      </w:pPr>
      <w:r w:rsidRPr="00D23B8F">
        <w:rPr>
          <w:rFonts w:cstheme="minorHAnsi"/>
          <w:b/>
          <w:sz w:val="24"/>
        </w:rPr>
        <w:t>Naïve</w:t>
      </w:r>
      <w:r w:rsidRPr="00D23B8F">
        <w:rPr>
          <w:rFonts w:cstheme="minorHAnsi"/>
          <w:b/>
        </w:rPr>
        <w:t xml:space="preserve"> </w:t>
      </w:r>
      <w:r w:rsidR="00041970" w:rsidRPr="00D23B8F">
        <w:rPr>
          <w:rFonts w:cstheme="minorHAnsi"/>
          <w:b/>
          <w:sz w:val="24"/>
          <w:szCs w:val="24"/>
        </w:rPr>
        <w:t>fallacy</w:t>
      </w:r>
      <w:r w:rsidR="00EB2617" w:rsidRPr="00D23B8F">
        <w:rPr>
          <w:rFonts w:cstheme="minorHAnsi"/>
          <w:sz w:val="24"/>
          <w:szCs w:val="24"/>
        </w:rPr>
        <w:t>—</w:t>
      </w:r>
      <w:r w:rsidR="00041970" w:rsidRPr="00D23B8F">
        <w:rPr>
          <w:rFonts w:cstheme="minorHAnsi"/>
          <w:sz w:val="24"/>
          <w:szCs w:val="24"/>
        </w:rPr>
        <w:t>a failure to properly understand</w:t>
      </w:r>
      <w:r w:rsidR="00291888" w:rsidRPr="00D23B8F">
        <w:rPr>
          <w:rFonts w:cstheme="minorHAnsi"/>
          <w:sz w:val="24"/>
          <w:szCs w:val="24"/>
        </w:rPr>
        <w:t>;</w:t>
      </w:r>
    </w:p>
    <w:p w14:paraId="5DCDF181" w14:textId="5C0D4475" w:rsidR="00041970" w:rsidRPr="00D23B8F" w:rsidRDefault="00041970" w:rsidP="008B1F03">
      <w:pPr>
        <w:spacing w:after="0" w:line="480" w:lineRule="auto"/>
        <w:ind w:left="1134"/>
        <w:rPr>
          <w:rFonts w:cstheme="minorHAnsi"/>
          <w:sz w:val="24"/>
          <w:szCs w:val="24"/>
        </w:rPr>
      </w:pPr>
      <w:r w:rsidRPr="00D23B8F">
        <w:rPr>
          <w:rFonts w:cstheme="minorHAnsi"/>
          <w:b/>
          <w:sz w:val="24"/>
          <w:szCs w:val="24"/>
        </w:rPr>
        <w:lastRenderedPageBreak/>
        <w:t>Deceptive fallacy</w:t>
      </w:r>
      <w:r w:rsidR="00EB2617" w:rsidRPr="00D23B8F">
        <w:rPr>
          <w:rFonts w:cstheme="minorHAnsi"/>
          <w:sz w:val="24"/>
          <w:szCs w:val="24"/>
        </w:rPr>
        <w:t>—</w:t>
      </w:r>
      <w:r w:rsidRPr="00D23B8F">
        <w:rPr>
          <w:rFonts w:cstheme="minorHAnsi"/>
          <w:sz w:val="24"/>
          <w:szCs w:val="24"/>
        </w:rPr>
        <w:t xml:space="preserve">the </w:t>
      </w:r>
      <w:r w:rsidR="00E720D8">
        <w:rPr>
          <w:rFonts w:cstheme="minorHAnsi"/>
          <w:sz w:val="24"/>
          <w:szCs w:val="24"/>
        </w:rPr>
        <w:t>man</w:t>
      </w:r>
      <w:r w:rsidRPr="00D23B8F">
        <w:rPr>
          <w:rFonts w:cstheme="minorHAnsi"/>
          <w:sz w:val="24"/>
          <w:szCs w:val="24"/>
        </w:rPr>
        <w:t>ipulation of statistics</w:t>
      </w:r>
      <w:r w:rsidR="00E720D8">
        <w:rPr>
          <w:rFonts w:cstheme="minorHAnsi"/>
          <w:sz w:val="24"/>
          <w:szCs w:val="24"/>
        </w:rPr>
        <w:t>, whether deliberate or otherwise,</w:t>
      </w:r>
      <w:r w:rsidRPr="00D23B8F">
        <w:rPr>
          <w:rFonts w:cstheme="minorHAnsi"/>
          <w:sz w:val="24"/>
          <w:szCs w:val="24"/>
        </w:rPr>
        <w:t xml:space="preserve"> towards some desired end</w:t>
      </w:r>
      <w:r w:rsidR="00291888" w:rsidRPr="00D23B8F">
        <w:rPr>
          <w:rFonts w:cstheme="minorHAnsi"/>
          <w:sz w:val="24"/>
          <w:szCs w:val="24"/>
        </w:rPr>
        <w:t>; and</w:t>
      </w:r>
    </w:p>
    <w:p w14:paraId="40B6DD58" w14:textId="77777777" w:rsidR="00041970" w:rsidRPr="00D23B8F" w:rsidRDefault="00041970" w:rsidP="008B1F03">
      <w:pPr>
        <w:spacing w:after="0" w:line="480" w:lineRule="auto"/>
        <w:ind w:left="1134"/>
        <w:rPr>
          <w:rFonts w:cstheme="minorHAnsi"/>
          <w:sz w:val="24"/>
          <w:szCs w:val="24"/>
        </w:rPr>
      </w:pPr>
      <w:r w:rsidRPr="00D23B8F">
        <w:rPr>
          <w:rFonts w:cstheme="minorHAnsi"/>
          <w:b/>
          <w:sz w:val="24"/>
          <w:szCs w:val="24"/>
        </w:rPr>
        <w:t>Scientific fallacy</w:t>
      </w:r>
      <w:r w:rsidR="00EB2617" w:rsidRPr="00D23B8F">
        <w:rPr>
          <w:rFonts w:cstheme="minorHAnsi"/>
          <w:sz w:val="24"/>
          <w:szCs w:val="24"/>
        </w:rPr>
        <w:t>—</w:t>
      </w:r>
      <w:r w:rsidRPr="00D23B8F">
        <w:rPr>
          <w:rFonts w:cstheme="minorHAnsi"/>
          <w:sz w:val="24"/>
          <w:szCs w:val="24"/>
        </w:rPr>
        <w:t xml:space="preserve">the belief that statistical or numerical data </w:t>
      </w:r>
      <w:r w:rsidR="00D36CAE" w:rsidRPr="00D23B8F">
        <w:rPr>
          <w:rFonts w:cstheme="minorHAnsi"/>
          <w:sz w:val="24"/>
          <w:szCs w:val="24"/>
        </w:rPr>
        <w:t xml:space="preserve">are </w:t>
      </w:r>
      <w:r w:rsidRPr="00D23B8F">
        <w:rPr>
          <w:rFonts w:cstheme="minorHAnsi"/>
          <w:sz w:val="24"/>
          <w:szCs w:val="24"/>
        </w:rPr>
        <w:t xml:space="preserve">inherently trustworthy or more worthy than other forms of knowing </w:t>
      </w:r>
      <w:r w:rsidRPr="00D23B8F">
        <w:rPr>
          <w:rFonts w:cstheme="minorHAnsi"/>
          <w:noProof/>
          <w:sz w:val="24"/>
          <w:szCs w:val="24"/>
        </w:rPr>
        <w:t>(Broadbent 2004</w:t>
      </w:r>
      <w:r w:rsidR="001C017F">
        <w:rPr>
          <w:rFonts w:cstheme="minorHAnsi"/>
          <w:noProof/>
          <w:sz w:val="24"/>
          <w:szCs w:val="24"/>
        </w:rPr>
        <w:t>:</w:t>
      </w:r>
      <w:r w:rsidRPr="00D23B8F">
        <w:rPr>
          <w:rFonts w:cstheme="minorHAnsi"/>
          <w:noProof/>
          <w:sz w:val="24"/>
          <w:szCs w:val="24"/>
        </w:rPr>
        <w:t>4)</w:t>
      </w:r>
      <w:r w:rsidR="00EB2617" w:rsidRPr="00D23B8F">
        <w:rPr>
          <w:rFonts w:cstheme="minorHAnsi"/>
          <w:noProof/>
          <w:sz w:val="24"/>
          <w:szCs w:val="24"/>
        </w:rPr>
        <w:t>.</w:t>
      </w:r>
    </w:p>
    <w:p w14:paraId="42565FFF" w14:textId="77777777" w:rsidR="00041970" w:rsidRPr="00D23B8F" w:rsidRDefault="00041970" w:rsidP="008B1F03">
      <w:pPr>
        <w:spacing w:after="0" w:line="480" w:lineRule="auto"/>
        <w:ind w:left="1440"/>
        <w:rPr>
          <w:rFonts w:cstheme="minorHAnsi"/>
          <w:sz w:val="24"/>
          <w:szCs w:val="24"/>
        </w:rPr>
      </w:pPr>
    </w:p>
    <w:p w14:paraId="06AD8A1D" w14:textId="55621B9D" w:rsidR="00041970" w:rsidRPr="00923E85" w:rsidRDefault="00041970" w:rsidP="008B1F03">
      <w:pPr>
        <w:spacing w:after="0" w:line="480" w:lineRule="auto"/>
        <w:rPr>
          <w:rFonts w:cstheme="minorHAnsi"/>
          <w:sz w:val="24"/>
          <w:szCs w:val="24"/>
        </w:rPr>
      </w:pPr>
      <w:r w:rsidRPr="00D23B8F">
        <w:rPr>
          <w:rFonts w:cstheme="minorHAnsi"/>
          <w:sz w:val="24"/>
          <w:szCs w:val="24"/>
        </w:rPr>
        <w:t xml:space="preserve">Succumbing to these fallacies will invariably </w:t>
      </w:r>
      <w:r w:rsidR="00EA5822">
        <w:rPr>
          <w:rFonts w:cstheme="minorHAnsi"/>
          <w:sz w:val="24"/>
          <w:szCs w:val="24"/>
        </w:rPr>
        <w:t>‘</w:t>
      </w:r>
      <w:r w:rsidRPr="00D23B8F">
        <w:rPr>
          <w:rFonts w:cstheme="minorHAnsi"/>
          <w:sz w:val="24"/>
          <w:szCs w:val="24"/>
        </w:rPr>
        <w:t>pervert the route</w:t>
      </w:r>
      <w:r w:rsidR="00EA5822">
        <w:rPr>
          <w:rFonts w:cstheme="minorHAnsi"/>
          <w:sz w:val="24"/>
          <w:szCs w:val="24"/>
        </w:rPr>
        <w:t>’</w:t>
      </w:r>
      <w:r w:rsidRPr="00D23B8F">
        <w:rPr>
          <w:rFonts w:cstheme="minorHAnsi"/>
          <w:sz w:val="24"/>
          <w:szCs w:val="24"/>
        </w:rPr>
        <w:t xml:space="preserve"> to</w:t>
      </w:r>
      <w:r w:rsidR="00C02772" w:rsidRPr="00D23B8F">
        <w:rPr>
          <w:rFonts w:cstheme="minorHAnsi"/>
          <w:sz w:val="24"/>
          <w:szCs w:val="24"/>
        </w:rPr>
        <w:t>wards</w:t>
      </w:r>
      <w:r w:rsidRPr="00D23B8F">
        <w:rPr>
          <w:rFonts w:cstheme="minorHAnsi"/>
          <w:sz w:val="24"/>
          <w:szCs w:val="24"/>
        </w:rPr>
        <w:t xml:space="preserve"> understanding the complex and nationally vital issue of Aboriginal and Torres Strait Islander participation in higher education (Broadbent</w:t>
      </w:r>
      <w:r w:rsidR="001C017F">
        <w:rPr>
          <w:rFonts w:cstheme="minorHAnsi"/>
          <w:sz w:val="24"/>
          <w:szCs w:val="24"/>
        </w:rPr>
        <w:t xml:space="preserve"> </w:t>
      </w:r>
      <w:r w:rsidRPr="00D23B8F">
        <w:rPr>
          <w:rFonts w:cstheme="minorHAnsi"/>
          <w:sz w:val="24"/>
          <w:szCs w:val="24"/>
        </w:rPr>
        <w:t>200</w:t>
      </w:r>
      <w:r w:rsidR="001C017F">
        <w:rPr>
          <w:rFonts w:cstheme="minorHAnsi"/>
          <w:sz w:val="24"/>
          <w:szCs w:val="24"/>
        </w:rPr>
        <w:t xml:space="preserve">4: </w:t>
      </w:r>
      <w:r w:rsidRPr="00D23B8F">
        <w:rPr>
          <w:rFonts w:cstheme="minorHAnsi"/>
          <w:sz w:val="24"/>
          <w:szCs w:val="24"/>
        </w:rPr>
        <w:t xml:space="preserve">6).  </w:t>
      </w:r>
      <w:r w:rsidR="000E10FC" w:rsidRPr="00923E85">
        <w:rPr>
          <w:sz w:val="24"/>
          <w:szCs w:val="24"/>
        </w:rPr>
        <w:t>Walter (2010) present</w:t>
      </w:r>
      <w:r w:rsidR="00B20266">
        <w:rPr>
          <w:sz w:val="24"/>
          <w:szCs w:val="24"/>
        </w:rPr>
        <w:t>ed</w:t>
      </w:r>
      <w:r w:rsidR="000E10FC" w:rsidRPr="00923E85">
        <w:rPr>
          <w:sz w:val="24"/>
          <w:szCs w:val="24"/>
        </w:rPr>
        <w:t xml:space="preserve"> a similar categorisation of the ‘political realities in which Indigenous statistics resides’ (49).</w:t>
      </w:r>
    </w:p>
    <w:p w14:paraId="4A983128" w14:textId="77777777" w:rsidR="00775844" w:rsidRPr="00D23B8F" w:rsidRDefault="00775844" w:rsidP="008B1F03">
      <w:pPr>
        <w:pStyle w:val="Heading2"/>
        <w:spacing w:line="480" w:lineRule="auto"/>
        <w:ind w:left="0"/>
        <w:rPr>
          <w:rFonts w:asciiTheme="minorHAnsi" w:hAnsiTheme="minorHAnsi" w:cstheme="minorHAnsi"/>
        </w:rPr>
      </w:pPr>
      <w:r w:rsidRPr="00D23B8F">
        <w:rPr>
          <w:rFonts w:asciiTheme="minorHAnsi" w:hAnsiTheme="minorHAnsi" w:cstheme="minorHAnsi"/>
        </w:rPr>
        <w:lastRenderedPageBreak/>
        <w:t>Interpretive / epistemic communities</w:t>
      </w:r>
    </w:p>
    <w:p w14:paraId="4BA2B554" w14:textId="77777777" w:rsidR="00D01694" w:rsidRPr="00D23B8F" w:rsidRDefault="00243CE6" w:rsidP="008B1F03">
      <w:pPr>
        <w:spacing w:line="480" w:lineRule="auto"/>
        <w:rPr>
          <w:rFonts w:cstheme="minorHAnsi"/>
          <w:sz w:val="24"/>
          <w:szCs w:val="24"/>
        </w:rPr>
      </w:pPr>
      <w:r w:rsidRPr="00D23B8F">
        <w:rPr>
          <w:rFonts w:cstheme="minorHAnsi"/>
          <w:sz w:val="24"/>
          <w:szCs w:val="24"/>
        </w:rPr>
        <w:t xml:space="preserve">In </w:t>
      </w:r>
      <w:r w:rsidR="00D01694" w:rsidRPr="00D23B8F">
        <w:rPr>
          <w:rFonts w:cstheme="minorHAnsi"/>
          <w:sz w:val="24"/>
          <w:szCs w:val="24"/>
        </w:rPr>
        <w:t>the higher education sector</w:t>
      </w:r>
      <w:r w:rsidRPr="00D23B8F">
        <w:rPr>
          <w:rFonts w:cstheme="minorHAnsi"/>
          <w:sz w:val="24"/>
          <w:szCs w:val="24"/>
        </w:rPr>
        <w:t xml:space="preserve"> there are multiple </w:t>
      </w:r>
      <w:r w:rsidR="00466E17" w:rsidRPr="00D23B8F">
        <w:rPr>
          <w:rFonts w:cstheme="minorHAnsi"/>
          <w:sz w:val="24"/>
          <w:szCs w:val="24"/>
        </w:rPr>
        <w:t xml:space="preserve">intersecting </w:t>
      </w:r>
      <w:r w:rsidRPr="00D23B8F">
        <w:rPr>
          <w:rFonts w:cstheme="minorHAnsi"/>
          <w:sz w:val="24"/>
          <w:szCs w:val="24"/>
        </w:rPr>
        <w:t>communities</w:t>
      </w:r>
      <w:r w:rsidR="00D01694" w:rsidRPr="00D23B8F">
        <w:rPr>
          <w:rFonts w:cstheme="minorHAnsi"/>
          <w:sz w:val="24"/>
          <w:szCs w:val="24"/>
        </w:rPr>
        <w:t xml:space="preserve"> of interest.  For example:</w:t>
      </w:r>
    </w:p>
    <w:p w14:paraId="3C1343A3" w14:textId="77777777" w:rsidR="00243CE6" w:rsidRPr="00D23B8F" w:rsidRDefault="0057304B" w:rsidP="008B1F03">
      <w:pPr>
        <w:pStyle w:val="ListParagraph"/>
        <w:numPr>
          <w:ilvl w:val="0"/>
          <w:numId w:val="2"/>
        </w:numPr>
        <w:spacing w:line="480" w:lineRule="auto"/>
        <w:rPr>
          <w:rFonts w:cstheme="minorHAnsi"/>
          <w:sz w:val="24"/>
          <w:szCs w:val="24"/>
        </w:rPr>
      </w:pPr>
      <w:r w:rsidRPr="00D23B8F">
        <w:rPr>
          <w:rFonts w:cstheme="minorHAnsi"/>
          <w:sz w:val="24"/>
          <w:szCs w:val="24"/>
        </w:rPr>
        <w:t>p</w:t>
      </w:r>
      <w:r w:rsidR="00243CE6" w:rsidRPr="00D23B8F">
        <w:rPr>
          <w:rFonts w:cstheme="minorHAnsi"/>
          <w:sz w:val="24"/>
          <w:szCs w:val="24"/>
        </w:rPr>
        <w:t>rofessional (within which there are multiple communities – demographers, statisticians, social scientists, and so on)</w:t>
      </w:r>
    </w:p>
    <w:p w14:paraId="4A16A22D" w14:textId="77777777" w:rsidR="00243CE6" w:rsidRPr="00D23B8F" w:rsidRDefault="0057304B" w:rsidP="008B1F03">
      <w:pPr>
        <w:pStyle w:val="ListParagraph"/>
        <w:numPr>
          <w:ilvl w:val="0"/>
          <w:numId w:val="2"/>
        </w:numPr>
        <w:spacing w:line="480" w:lineRule="auto"/>
        <w:rPr>
          <w:rFonts w:cstheme="minorHAnsi"/>
          <w:sz w:val="24"/>
          <w:szCs w:val="24"/>
        </w:rPr>
      </w:pPr>
      <w:r w:rsidRPr="00D23B8F">
        <w:rPr>
          <w:rFonts w:cstheme="minorHAnsi"/>
          <w:sz w:val="24"/>
          <w:szCs w:val="24"/>
        </w:rPr>
        <w:lastRenderedPageBreak/>
        <w:t>b</w:t>
      </w:r>
      <w:r w:rsidR="00243CE6" w:rsidRPr="00D23B8F">
        <w:rPr>
          <w:rFonts w:cstheme="minorHAnsi"/>
          <w:sz w:val="24"/>
          <w:szCs w:val="24"/>
        </w:rPr>
        <w:t>ureaucrats and administrators (within government, the sector and community)</w:t>
      </w:r>
    </w:p>
    <w:p w14:paraId="615869A5" w14:textId="77777777" w:rsidR="00243CE6" w:rsidRPr="00D23B8F" w:rsidRDefault="0057304B" w:rsidP="008B1F03">
      <w:pPr>
        <w:pStyle w:val="ListParagraph"/>
        <w:numPr>
          <w:ilvl w:val="0"/>
          <w:numId w:val="2"/>
        </w:numPr>
        <w:spacing w:line="480" w:lineRule="auto"/>
        <w:rPr>
          <w:rFonts w:cstheme="minorHAnsi"/>
          <w:sz w:val="24"/>
          <w:szCs w:val="24"/>
        </w:rPr>
      </w:pPr>
      <w:r w:rsidRPr="00D23B8F">
        <w:rPr>
          <w:rFonts w:cstheme="minorHAnsi"/>
          <w:sz w:val="24"/>
          <w:szCs w:val="24"/>
        </w:rPr>
        <w:t>h</w:t>
      </w:r>
      <w:r w:rsidR="00243CE6" w:rsidRPr="00D23B8F">
        <w:rPr>
          <w:rFonts w:cstheme="minorHAnsi"/>
          <w:sz w:val="24"/>
          <w:szCs w:val="24"/>
        </w:rPr>
        <w:t xml:space="preserve">igher education </w:t>
      </w:r>
      <w:r w:rsidR="00D01694" w:rsidRPr="00D23B8F">
        <w:rPr>
          <w:rFonts w:cstheme="minorHAnsi"/>
          <w:sz w:val="24"/>
          <w:szCs w:val="24"/>
        </w:rPr>
        <w:t>leadership</w:t>
      </w:r>
    </w:p>
    <w:p w14:paraId="17D9BBDB" w14:textId="77777777" w:rsidR="0088742E" w:rsidRPr="00D23B8F" w:rsidRDefault="0057304B" w:rsidP="008B1F03">
      <w:pPr>
        <w:pStyle w:val="ListParagraph"/>
        <w:numPr>
          <w:ilvl w:val="0"/>
          <w:numId w:val="2"/>
        </w:numPr>
        <w:spacing w:line="480" w:lineRule="auto"/>
        <w:rPr>
          <w:rFonts w:cstheme="minorHAnsi"/>
          <w:sz w:val="24"/>
          <w:szCs w:val="24"/>
        </w:rPr>
      </w:pPr>
      <w:r w:rsidRPr="00D23B8F">
        <w:rPr>
          <w:rFonts w:cstheme="minorHAnsi"/>
          <w:sz w:val="24"/>
          <w:szCs w:val="24"/>
        </w:rPr>
        <w:t>l</w:t>
      </w:r>
      <w:r w:rsidR="00243CE6" w:rsidRPr="00D23B8F">
        <w:rPr>
          <w:rFonts w:cstheme="minorHAnsi"/>
          <w:sz w:val="24"/>
          <w:szCs w:val="24"/>
        </w:rPr>
        <w:t>ay community</w:t>
      </w:r>
      <w:r w:rsidR="008549E1" w:rsidRPr="00D23B8F">
        <w:rPr>
          <w:rFonts w:cstheme="minorHAnsi"/>
          <w:sz w:val="24"/>
          <w:szCs w:val="24"/>
        </w:rPr>
        <w:t xml:space="preserve"> members</w:t>
      </w:r>
      <w:r w:rsidR="007706D5">
        <w:rPr>
          <w:rFonts w:cstheme="minorHAnsi"/>
          <w:sz w:val="24"/>
          <w:szCs w:val="24"/>
        </w:rPr>
        <w:t>.</w:t>
      </w:r>
      <w:r w:rsidR="00243CE6" w:rsidRPr="00D23B8F">
        <w:rPr>
          <w:rFonts w:cstheme="minorHAnsi"/>
          <w:sz w:val="24"/>
          <w:szCs w:val="24"/>
        </w:rPr>
        <w:t xml:space="preserve"> </w:t>
      </w:r>
    </w:p>
    <w:p w14:paraId="17087D07" w14:textId="249316BC" w:rsidR="001849D0" w:rsidRPr="00D23B8F" w:rsidRDefault="00041970" w:rsidP="008B1F03">
      <w:pPr>
        <w:spacing w:after="0" w:line="480" w:lineRule="auto"/>
        <w:rPr>
          <w:rFonts w:cstheme="minorHAnsi"/>
          <w:sz w:val="24"/>
          <w:szCs w:val="24"/>
        </w:rPr>
      </w:pPr>
      <w:r w:rsidRPr="00D23B8F">
        <w:rPr>
          <w:rFonts w:cstheme="minorHAnsi"/>
          <w:sz w:val="24"/>
          <w:szCs w:val="24"/>
        </w:rPr>
        <w:t xml:space="preserve">To understand the complexity and diversity of stakeholders in the field we will draw on the work of Throgmorton </w:t>
      </w:r>
      <w:r w:rsidRPr="00D23B8F">
        <w:rPr>
          <w:rFonts w:cstheme="minorHAnsi"/>
          <w:noProof/>
          <w:sz w:val="24"/>
          <w:szCs w:val="24"/>
        </w:rPr>
        <w:t>(1991</w:t>
      </w:r>
      <w:r w:rsidR="00827FBA" w:rsidRPr="00D23B8F">
        <w:rPr>
          <w:rFonts w:cstheme="minorHAnsi"/>
          <w:noProof/>
          <w:sz w:val="24"/>
          <w:szCs w:val="24"/>
        </w:rPr>
        <w:t>, 2000</w:t>
      </w:r>
      <w:r w:rsidRPr="00D23B8F">
        <w:rPr>
          <w:rFonts w:cstheme="minorHAnsi"/>
          <w:noProof/>
          <w:sz w:val="24"/>
          <w:szCs w:val="24"/>
        </w:rPr>
        <w:t>)</w:t>
      </w:r>
      <w:r w:rsidRPr="00D23B8F">
        <w:rPr>
          <w:rFonts w:cstheme="minorHAnsi"/>
          <w:sz w:val="24"/>
          <w:szCs w:val="24"/>
        </w:rPr>
        <w:t xml:space="preserve"> and others on the rhetoric of policy analysis.  </w:t>
      </w:r>
      <w:r w:rsidRPr="00D23B8F">
        <w:rPr>
          <w:rFonts w:cstheme="minorHAnsi"/>
          <w:sz w:val="24"/>
          <w:szCs w:val="24"/>
        </w:rPr>
        <w:lastRenderedPageBreak/>
        <w:t>Various stakeholder groups</w:t>
      </w:r>
      <w:r w:rsidR="004C6574" w:rsidRPr="00D23B8F">
        <w:rPr>
          <w:rFonts w:cstheme="minorHAnsi"/>
          <w:sz w:val="24"/>
          <w:szCs w:val="24"/>
        </w:rPr>
        <w:t xml:space="preserve"> can be conceived as different epistemic</w:t>
      </w:r>
      <w:r w:rsidRPr="00D23B8F">
        <w:rPr>
          <w:rFonts w:cstheme="minorHAnsi"/>
          <w:sz w:val="24"/>
          <w:szCs w:val="24"/>
        </w:rPr>
        <w:t xml:space="preserve"> or interpretive communities</w:t>
      </w:r>
      <w:r w:rsidR="00934222" w:rsidRPr="00D23B8F">
        <w:rPr>
          <w:rFonts w:cstheme="minorHAnsi"/>
          <w:sz w:val="24"/>
          <w:szCs w:val="24"/>
        </w:rPr>
        <w:t>;</w:t>
      </w:r>
      <w:r w:rsidRPr="00D23B8F">
        <w:rPr>
          <w:rFonts w:cstheme="minorHAnsi"/>
          <w:sz w:val="24"/>
          <w:szCs w:val="24"/>
        </w:rPr>
        <w:t xml:space="preserve"> networks of experts who share </w:t>
      </w:r>
      <w:r w:rsidR="001C017F">
        <w:rPr>
          <w:rFonts w:cstheme="minorHAnsi"/>
          <w:sz w:val="24"/>
          <w:szCs w:val="24"/>
        </w:rPr>
        <w:t>‘</w:t>
      </w:r>
      <w:r w:rsidRPr="00D23B8F">
        <w:rPr>
          <w:rFonts w:cstheme="minorHAnsi"/>
          <w:sz w:val="24"/>
          <w:szCs w:val="24"/>
        </w:rPr>
        <w:t>causal beliefs and policy goals</w:t>
      </w:r>
      <w:r w:rsidR="001C017F">
        <w:rPr>
          <w:rFonts w:cstheme="minorHAnsi"/>
          <w:sz w:val="24"/>
          <w:szCs w:val="24"/>
        </w:rPr>
        <w:t>’</w:t>
      </w:r>
      <w:r w:rsidRPr="00D23B8F">
        <w:rPr>
          <w:rFonts w:cstheme="minorHAnsi"/>
          <w:sz w:val="24"/>
          <w:szCs w:val="24"/>
        </w:rPr>
        <w:t xml:space="preserve"> </w:t>
      </w:r>
      <w:r w:rsidRPr="00D23B8F">
        <w:rPr>
          <w:rFonts w:cstheme="minorHAnsi"/>
          <w:noProof/>
          <w:sz w:val="24"/>
          <w:szCs w:val="24"/>
        </w:rPr>
        <w:t>(Cross 2013</w:t>
      </w:r>
      <w:r w:rsidR="001C017F">
        <w:rPr>
          <w:rFonts w:cstheme="minorHAnsi"/>
          <w:noProof/>
          <w:sz w:val="24"/>
          <w:szCs w:val="24"/>
        </w:rPr>
        <w:t xml:space="preserve">: </w:t>
      </w:r>
      <w:r w:rsidRPr="00D23B8F">
        <w:rPr>
          <w:rFonts w:cstheme="minorHAnsi"/>
          <w:noProof/>
          <w:sz w:val="24"/>
          <w:szCs w:val="24"/>
        </w:rPr>
        <w:t>142)</w:t>
      </w:r>
      <w:r w:rsidRPr="00D23B8F">
        <w:rPr>
          <w:rFonts w:cstheme="minorHAnsi"/>
          <w:sz w:val="24"/>
          <w:szCs w:val="24"/>
        </w:rPr>
        <w:t>,</w:t>
      </w:r>
      <w:r w:rsidRPr="00D23B8F">
        <w:rPr>
          <w:rFonts w:cstheme="minorHAnsi"/>
        </w:rPr>
        <w:t xml:space="preserve"> </w:t>
      </w:r>
      <w:r w:rsidRPr="00D23B8F">
        <w:rPr>
          <w:rFonts w:cstheme="minorHAnsi"/>
          <w:sz w:val="24"/>
          <w:szCs w:val="24"/>
        </w:rPr>
        <w:t>each with their own unique language, syntax, rules, beliefs</w:t>
      </w:r>
      <w:r w:rsidR="00D01694" w:rsidRPr="00D23B8F">
        <w:rPr>
          <w:rFonts w:cstheme="minorHAnsi"/>
          <w:sz w:val="24"/>
          <w:szCs w:val="24"/>
        </w:rPr>
        <w:t>, motivations</w:t>
      </w:r>
      <w:r w:rsidRPr="00D23B8F">
        <w:rPr>
          <w:rFonts w:cstheme="minorHAnsi"/>
          <w:sz w:val="24"/>
          <w:szCs w:val="24"/>
        </w:rPr>
        <w:t xml:space="preserve"> and cultures that lead them to compre</w:t>
      </w:r>
      <w:r w:rsidR="00D01694" w:rsidRPr="00D23B8F">
        <w:rPr>
          <w:rFonts w:cstheme="minorHAnsi"/>
          <w:sz w:val="24"/>
          <w:szCs w:val="24"/>
        </w:rPr>
        <w:t>hend issues, data and phenomena</w:t>
      </w:r>
      <w:r w:rsidRPr="00D23B8F">
        <w:rPr>
          <w:rFonts w:cstheme="minorHAnsi"/>
          <w:sz w:val="24"/>
          <w:szCs w:val="24"/>
        </w:rPr>
        <w:t xml:space="preserve"> differently.  These differences culminate in perspectives that are </w:t>
      </w:r>
      <w:r w:rsidRPr="00D23B8F">
        <w:rPr>
          <w:rFonts w:cstheme="minorHAnsi"/>
          <w:i/>
          <w:sz w:val="24"/>
          <w:szCs w:val="24"/>
        </w:rPr>
        <w:t>experience distant</w:t>
      </w:r>
      <w:r w:rsidRPr="00D23B8F">
        <w:rPr>
          <w:rFonts w:cstheme="minorHAnsi"/>
          <w:sz w:val="24"/>
          <w:szCs w:val="24"/>
        </w:rPr>
        <w:t xml:space="preserve"> </w:t>
      </w:r>
      <w:r w:rsidRPr="00D23B8F">
        <w:rPr>
          <w:rFonts w:cstheme="minorHAnsi"/>
          <w:sz w:val="24"/>
          <w:szCs w:val="24"/>
        </w:rPr>
        <w:lastRenderedPageBreak/>
        <w:t>from one another despite an often superficially shared language</w:t>
      </w:r>
      <w:r w:rsidR="004C6574" w:rsidRPr="00D23B8F">
        <w:rPr>
          <w:rFonts w:cstheme="minorHAnsi"/>
          <w:sz w:val="24"/>
          <w:szCs w:val="24"/>
        </w:rPr>
        <w:t xml:space="preserve"> (Throg</w:t>
      </w:r>
      <w:r w:rsidR="00A05C7D" w:rsidRPr="00D23B8F">
        <w:rPr>
          <w:rFonts w:cstheme="minorHAnsi"/>
          <w:sz w:val="24"/>
          <w:szCs w:val="24"/>
        </w:rPr>
        <w:t>m</w:t>
      </w:r>
      <w:r w:rsidR="004C6574" w:rsidRPr="00D23B8F">
        <w:rPr>
          <w:rFonts w:cstheme="minorHAnsi"/>
          <w:sz w:val="24"/>
          <w:szCs w:val="24"/>
        </w:rPr>
        <w:t>orton 1991)</w:t>
      </w:r>
      <w:r w:rsidRPr="00D23B8F">
        <w:rPr>
          <w:rFonts w:cstheme="minorHAnsi"/>
          <w:sz w:val="24"/>
          <w:szCs w:val="24"/>
        </w:rPr>
        <w:t xml:space="preserve">.  </w:t>
      </w:r>
      <w:r w:rsidR="00A05C7D" w:rsidRPr="00D23B8F">
        <w:rPr>
          <w:rFonts w:cstheme="minorHAnsi"/>
          <w:sz w:val="24"/>
          <w:szCs w:val="24"/>
        </w:rPr>
        <w:t xml:space="preserve">One </w:t>
      </w:r>
      <w:r w:rsidRPr="00D23B8F">
        <w:rPr>
          <w:rFonts w:cstheme="minorHAnsi"/>
          <w:sz w:val="24"/>
          <w:szCs w:val="24"/>
        </w:rPr>
        <w:t xml:space="preserve">goal of seeking a shared language is to move from </w:t>
      </w:r>
      <w:r w:rsidRPr="00D23B8F">
        <w:rPr>
          <w:rFonts w:cstheme="minorHAnsi"/>
          <w:i/>
          <w:iCs/>
          <w:sz w:val="24"/>
          <w:szCs w:val="24"/>
        </w:rPr>
        <w:t>experience distant</w:t>
      </w:r>
      <w:r w:rsidRPr="00D23B8F">
        <w:rPr>
          <w:rFonts w:cstheme="minorHAnsi"/>
          <w:sz w:val="24"/>
          <w:szCs w:val="24"/>
        </w:rPr>
        <w:t xml:space="preserve"> to </w:t>
      </w:r>
      <w:r w:rsidRPr="00D23B8F">
        <w:rPr>
          <w:rFonts w:cstheme="minorHAnsi"/>
          <w:i/>
          <w:iCs/>
          <w:sz w:val="24"/>
          <w:szCs w:val="24"/>
        </w:rPr>
        <w:t>experience near</w:t>
      </w:r>
      <w:r w:rsidRPr="00D23B8F">
        <w:rPr>
          <w:rFonts w:cstheme="minorHAnsi"/>
          <w:sz w:val="24"/>
          <w:szCs w:val="24"/>
        </w:rPr>
        <w:t xml:space="preserve">.  </w:t>
      </w:r>
      <w:r w:rsidRPr="00D23B8F">
        <w:rPr>
          <w:rFonts w:cstheme="minorHAnsi"/>
          <w:i/>
          <w:iCs/>
          <w:sz w:val="24"/>
          <w:szCs w:val="24"/>
        </w:rPr>
        <w:t>Experience near</w:t>
      </w:r>
      <w:r w:rsidRPr="00D23B8F">
        <w:rPr>
          <w:rFonts w:cstheme="minorHAnsi"/>
          <w:sz w:val="24"/>
          <w:szCs w:val="24"/>
        </w:rPr>
        <w:t xml:space="preserve"> is most often found at the intersections of epistemic / interpretive communities. We seek to facilitate a shared statistical literacy that enhances </w:t>
      </w:r>
      <w:r w:rsidRPr="00D23B8F">
        <w:rPr>
          <w:rFonts w:cstheme="minorHAnsi"/>
          <w:i/>
          <w:iCs/>
          <w:sz w:val="24"/>
          <w:szCs w:val="24"/>
        </w:rPr>
        <w:t>experience nea</w:t>
      </w:r>
      <w:r w:rsidR="00B61A7A" w:rsidRPr="00D23B8F">
        <w:rPr>
          <w:rFonts w:cstheme="minorHAnsi"/>
          <w:i/>
          <w:iCs/>
          <w:sz w:val="24"/>
          <w:szCs w:val="24"/>
        </w:rPr>
        <w:t>r</w:t>
      </w:r>
      <w:r w:rsidR="0088029D" w:rsidRPr="00D23B8F">
        <w:rPr>
          <w:rFonts w:cstheme="minorHAnsi"/>
          <w:i/>
          <w:iCs/>
          <w:sz w:val="24"/>
          <w:szCs w:val="24"/>
        </w:rPr>
        <w:t>.</w:t>
      </w:r>
      <w:r w:rsidRPr="00D23B8F">
        <w:rPr>
          <w:rFonts w:cstheme="minorHAnsi"/>
          <w:sz w:val="24"/>
          <w:szCs w:val="24"/>
        </w:rPr>
        <w:t xml:space="preserve"> </w:t>
      </w:r>
      <w:r w:rsidR="00827FBA" w:rsidRPr="00D23B8F">
        <w:rPr>
          <w:rFonts w:cstheme="minorHAnsi"/>
          <w:sz w:val="24"/>
          <w:szCs w:val="24"/>
        </w:rPr>
        <w:t xml:space="preserve"> </w:t>
      </w:r>
      <w:r w:rsidR="000D5AD1" w:rsidRPr="00D23B8F">
        <w:rPr>
          <w:rFonts w:cstheme="minorHAnsi"/>
          <w:sz w:val="24"/>
          <w:szCs w:val="24"/>
        </w:rPr>
        <w:t>However</w:t>
      </w:r>
      <w:r w:rsidR="000840A9">
        <w:rPr>
          <w:rFonts w:cstheme="minorHAnsi"/>
          <w:sz w:val="24"/>
          <w:szCs w:val="24"/>
        </w:rPr>
        <w:t>,</w:t>
      </w:r>
      <w:r w:rsidR="00827FBA" w:rsidRPr="00D23B8F">
        <w:rPr>
          <w:rFonts w:cstheme="minorHAnsi"/>
          <w:sz w:val="24"/>
          <w:szCs w:val="24"/>
        </w:rPr>
        <w:t xml:space="preserve"> this requires a deal of goodwill</w:t>
      </w:r>
      <w:r w:rsidR="000D5AD1" w:rsidRPr="00D23B8F">
        <w:rPr>
          <w:rFonts w:cstheme="minorHAnsi"/>
          <w:sz w:val="24"/>
          <w:szCs w:val="24"/>
        </w:rPr>
        <w:t xml:space="preserve"> (or </w:t>
      </w:r>
      <w:r w:rsidR="000D5AD1" w:rsidRPr="00D23B8F">
        <w:rPr>
          <w:rFonts w:cstheme="minorHAnsi"/>
          <w:sz w:val="24"/>
          <w:szCs w:val="24"/>
        </w:rPr>
        <w:lastRenderedPageBreak/>
        <w:t xml:space="preserve">what Throgmorton called a </w:t>
      </w:r>
      <w:r w:rsidR="001C017F">
        <w:rPr>
          <w:rFonts w:cstheme="minorHAnsi"/>
          <w:sz w:val="24"/>
          <w:szCs w:val="24"/>
        </w:rPr>
        <w:t>‘</w:t>
      </w:r>
      <w:r w:rsidR="000D5AD1" w:rsidRPr="00D23B8F">
        <w:rPr>
          <w:rFonts w:cstheme="minorHAnsi"/>
          <w:sz w:val="24"/>
          <w:szCs w:val="24"/>
        </w:rPr>
        <w:t>sustainable economy of spirit</w:t>
      </w:r>
      <w:r w:rsidR="001C017F">
        <w:rPr>
          <w:rFonts w:cstheme="minorHAnsi"/>
          <w:sz w:val="24"/>
          <w:szCs w:val="24"/>
        </w:rPr>
        <w:t>’</w:t>
      </w:r>
      <w:r w:rsidR="000D5AD1" w:rsidRPr="00D23B8F">
        <w:rPr>
          <w:rFonts w:cstheme="minorHAnsi"/>
          <w:sz w:val="24"/>
          <w:szCs w:val="24"/>
        </w:rPr>
        <w:t xml:space="preserve"> </w:t>
      </w:r>
      <w:r w:rsidR="008740D4" w:rsidRPr="00D23B8F">
        <w:rPr>
          <w:rFonts w:cstheme="minorHAnsi"/>
          <w:sz w:val="24"/>
          <w:szCs w:val="24"/>
        </w:rPr>
        <w:t>[2000</w:t>
      </w:r>
      <w:r w:rsidR="001C017F">
        <w:rPr>
          <w:rFonts w:cstheme="minorHAnsi"/>
          <w:sz w:val="24"/>
          <w:szCs w:val="24"/>
        </w:rPr>
        <w:t xml:space="preserve">: </w:t>
      </w:r>
      <w:r w:rsidR="000D5AD1" w:rsidRPr="00D23B8F">
        <w:rPr>
          <w:rFonts w:cstheme="minorHAnsi"/>
          <w:sz w:val="24"/>
          <w:szCs w:val="24"/>
        </w:rPr>
        <w:t>376</w:t>
      </w:r>
      <w:r w:rsidR="008740D4" w:rsidRPr="00D23B8F">
        <w:rPr>
          <w:rFonts w:cstheme="minorHAnsi"/>
          <w:sz w:val="24"/>
          <w:szCs w:val="24"/>
        </w:rPr>
        <w:t>]</w:t>
      </w:r>
      <w:r w:rsidR="000D5AD1" w:rsidRPr="00D23B8F">
        <w:rPr>
          <w:rFonts w:cstheme="minorHAnsi"/>
          <w:sz w:val="24"/>
          <w:szCs w:val="24"/>
        </w:rPr>
        <w:t>)</w:t>
      </w:r>
      <w:r w:rsidR="00827FBA" w:rsidRPr="00D23B8F">
        <w:rPr>
          <w:rFonts w:cstheme="minorHAnsi"/>
          <w:sz w:val="24"/>
          <w:szCs w:val="24"/>
        </w:rPr>
        <w:t xml:space="preserve">.  It is common for </w:t>
      </w:r>
      <w:r w:rsidR="000D5AD1" w:rsidRPr="00D23B8F">
        <w:rPr>
          <w:rFonts w:cstheme="minorHAnsi"/>
          <w:sz w:val="24"/>
          <w:szCs w:val="24"/>
        </w:rPr>
        <w:t>members</w:t>
      </w:r>
      <w:r w:rsidR="00827FBA" w:rsidRPr="00D23B8F">
        <w:rPr>
          <w:rFonts w:cstheme="minorHAnsi"/>
          <w:sz w:val="24"/>
          <w:szCs w:val="24"/>
        </w:rPr>
        <w:t xml:space="preserve"> of one interpretive community to devalue or even denigrate </w:t>
      </w:r>
      <w:r w:rsidR="0041336E" w:rsidRPr="00D23B8F">
        <w:rPr>
          <w:rFonts w:cstheme="minorHAnsi"/>
          <w:sz w:val="24"/>
          <w:szCs w:val="24"/>
        </w:rPr>
        <w:t>the beliefs and views of member</w:t>
      </w:r>
      <w:r w:rsidR="00827FBA" w:rsidRPr="00D23B8F">
        <w:rPr>
          <w:rFonts w:cstheme="minorHAnsi"/>
          <w:sz w:val="24"/>
          <w:szCs w:val="24"/>
        </w:rPr>
        <w:t>s</w:t>
      </w:r>
      <w:r w:rsidR="0041336E" w:rsidRPr="00D23B8F">
        <w:rPr>
          <w:rFonts w:cstheme="minorHAnsi"/>
          <w:sz w:val="24"/>
          <w:szCs w:val="24"/>
        </w:rPr>
        <w:t xml:space="preserve"> </w:t>
      </w:r>
      <w:r w:rsidR="00827FBA" w:rsidRPr="00D23B8F">
        <w:rPr>
          <w:rFonts w:cstheme="minorHAnsi"/>
          <w:sz w:val="24"/>
          <w:szCs w:val="24"/>
        </w:rPr>
        <w:t>of another interpretive community usually based on stereot</w:t>
      </w:r>
      <w:r w:rsidR="00B3475F" w:rsidRPr="00D23B8F">
        <w:rPr>
          <w:rFonts w:cstheme="minorHAnsi"/>
          <w:sz w:val="24"/>
          <w:szCs w:val="24"/>
        </w:rPr>
        <w:t>ypical</w:t>
      </w:r>
      <w:r w:rsidR="00827FBA" w:rsidRPr="00D23B8F">
        <w:rPr>
          <w:rFonts w:cstheme="minorHAnsi"/>
          <w:sz w:val="24"/>
          <w:szCs w:val="24"/>
        </w:rPr>
        <w:t xml:space="preserve"> inference</w:t>
      </w:r>
      <w:r w:rsidR="000D5AD1" w:rsidRPr="00D23B8F">
        <w:rPr>
          <w:rFonts w:cstheme="minorHAnsi"/>
          <w:sz w:val="24"/>
          <w:szCs w:val="24"/>
        </w:rPr>
        <w:t>s</w:t>
      </w:r>
      <w:r w:rsidR="00827FBA" w:rsidRPr="00D23B8F">
        <w:rPr>
          <w:rFonts w:cstheme="minorHAnsi"/>
          <w:sz w:val="24"/>
          <w:szCs w:val="24"/>
        </w:rPr>
        <w:t xml:space="preserve"> (Throgmorton 2000).  </w:t>
      </w:r>
      <w:r w:rsidR="00AF65FE" w:rsidRPr="00D23B8F">
        <w:rPr>
          <w:rFonts w:cstheme="minorHAnsi"/>
          <w:sz w:val="24"/>
          <w:szCs w:val="24"/>
        </w:rPr>
        <w:t xml:space="preserve">In this sense </w:t>
      </w:r>
      <w:r w:rsidR="0041336E" w:rsidRPr="00D23B8F">
        <w:rPr>
          <w:rFonts w:cstheme="minorHAnsi"/>
          <w:sz w:val="24"/>
          <w:szCs w:val="24"/>
        </w:rPr>
        <w:t>i</w:t>
      </w:r>
      <w:r w:rsidR="0041336E" w:rsidRPr="00D23B8F">
        <w:rPr>
          <w:rFonts w:cstheme="minorHAnsi"/>
          <w:noProof/>
          <w:sz w:val="24"/>
          <w:szCs w:val="24"/>
        </w:rPr>
        <w:t>nterpretive</w:t>
      </w:r>
      <w:r w:rsidR="00AF65FE" w:rsidRPr="00D23B8F">
        <w:rPr>
          <w:rFonts w:cstheme="minorHAnsi"/>
          <w:noProof/>
          <w:sz w:val="24"/>
          <w:szCs w:val="24"/>
        </w:rPr>
        <w:t xml:space="preserve"> communities are also often socially constructed with respect to part</w:t>
      </w:r>
      <w:r w:rsidR="002D518C" w:rsidRPr="00D23B8F">
        <w:rPr>
          <w:rFonts w:cstheme="minorHAnsi"/>
          <w:noProof/>
          <w:sz w:val="24"/>
          <w:szCs w:val="24"/>
        </w:rPr>
        <w:t xml:space="preserve">icular issues </w:t>
      </w:r>
      <w:r w:rsidR="002D518C" w:rsidRPr="00D23B8F">
        <w:rPr>
          <w:rFonts w:cstheme="minorHAnsi"/>
          <w:noProof/>
          <w:sz w:val="24"/>
          <w:szCs w:val="24"/>
        </w:rPr>
        <w:lastRenderedPageBreak/>
        <w:t>(Leiserowitz 2007</w:t>
      </w:r>
      <w:r w:rsidR="00AF65FE" w:rsidRPr="00D23B8F">
        <w:rPr>
          <w:rFonts w:cstheme="minorHAnsi"/>
          <w:noProof/>
          <w:sz w:val="24"/>
          <w:szCs w:val="24"/>
        </w:rPr>
        <w:t xml:space="preserve">).  </w:t>
      </w:r>
      <w:r w:rsidR="004F7ABF" w:rsidRPr="00D23B8F">
        <w:rPr>
          <w:rFonts w:cstheme="minorHAnsi"/>
          <w:sz w:val="24"/>
          <w:szCs w:val="24"/>
        </w:rPr>
        <w:t>Indigenous and non</w:t>
      </w:r>
      <w:r w:rsidR="00291888" w:rsidRPr="00D23B8F">
        <w:rPr>
          <w:rFonts w:cstheme="minorHAnsi"/>
          <w:sz w:val="24"/>
          <w:szCs w:val="24"/>
        </w:rPr>
        <w:t>-</w:t>
      </w:r>
      <w:r w:rsidR="004F7ABF" w:rsidRPr="00D23B8F">
        <w:rPr>
          <w:rFonts w:cstheme="minorHAnsi"/>
          <w:sz w:val="24"/>
          <w:szCs w:val="24"/>
        </w:rPr>
        <w:t xml:space="preserve">Indigenous </w:t>
      </w:r>
      <w:r w:rsidR="005014D2" w:rsidRPr="00D23B8F">
        <w:rPr>
          <w:rFonts w:cstheme="minorHAnsi"/>
          <w:sz w:val="24"/>
          <w:szCs w:val="24"/>
        </w:rPr>
        <w:t xml:space="preserve">participants in the higher education sector also constitute </w:t>
      </w:r>
      <w:r w:rsidR="00AF65FE" w:rsidRPr="00D23B8F">
        <w:rPr>
          <w:rFonts w:cstheme="minorHAnsi"/>
          <w:sz w:val="24"/>
          <w:szCs w:val="24"/>
        </w:rPr>
        <w:t xml:space="preserve">socially, historically, culturally and politically constructed </w:t>
      </w:r>
      <w:r w:rsidR="005014D2" w:rsidRPr="00D23B8F">
        <w:rPr>
          <w:rFonts w:cstheme="minorHAnsi"/>
          <w:sz w:val="24"/>
          <w:szCs w:val="24"/>
        </w:rPr>
        <w:t>interpretive or epistemic communities</w:t>
      </w:r>
      <w:r w:rsidR="0037789D" w:rsidRPr="00D23B8F">
        <w:rPr>
          <w:rFonts w:cstheme="minorHAnsi"/>
          <w:sz w:val="24"/>
          <w:szCs w:val="24"/>
        </w:rPr>
        <w:t>,</w:t>
      </w:r>
      <w:r w:rsidR="005014D2" w:rsidRPr="00D23B8F">
        <w:rPr>
          <w:rFonts w:cstheme="minorHAnsi"/>
          <w:sz w:val="24"/>
          <w:szCs w:val="24"/>
        </w:rPr>
        <w:t xml:space="preserve"> and in this instance the </w:t>
      </w:r>
      <w:r w:rsidR="005014D2" w:rsidRPr="00D23B8F">
        <w:rPr>
          <w:rFonts w:cstheme="minorHAnsi"/>
          <w:i/>
          <w:iCs/>
          <w:sz w:val="24"/>
          <w:szCs w:val="24"/>
        </w:rPr>
        <w:t>experience near</w:t>
      </w:r>
      <w:r w:rsidR="005014D2" w:rsidRPr="00D23B8F">
        <w:rPr>
          <w:rFonts w:cstheme="minorHAnsi"/>
          <w:sz w:val="24"/>
          <w:szCs w:val="24"/>
        </w:rPr>
        <w:t xml:space="preserve"> will be found in the intercultural space</w:t>
      </w:r>
      <w:r w:rsidR="003452AD" w:rsidRPr="00D23B8F">
        <w:rPr>
          <w:rFonts w:cstheme="minorHAnsi"/>
          <w:sz w:val="24"/>
          <w:szCs w:val="24"/>
        </w:rPr>
        <w:t>, as described above</w:t>
      </w:r>
      <w:r w:rsidR="005014D2" w:rsidRPr="00D23B8F">
        <w:rPr>
          <w:rFonts w:cstheme="minorHAnsi"/>
          <w:sz w:val="24"/>
          <w:szCs w:val="24"/>
        </w:rPr>
        <w:t xml:space="preserve"> (Nakata 2013). </w:t>
      </w:r>
    </w:p>
    <w:p w14:paraId="3BB13F6C" w14:textId="77777777" w:rsidR="0001006E" w:rsidRPr="00D23B8F" w:rsidRDefault="0001006E" w:rsidP="008B1F03">
      <w:pPr>
        <w:pStyle w:val="Heading2"/>
        <w:spacing w:line="480" w:lineRule="auto"/>
        <w:ind w:left="0"/>
        <w:rPr>
          <w:rFonts w:asciiTheme="minorHAnsi" w:hAnsiTheme="minorHAnsi" w:cstheme="minorHAnsi"/>
        </w:rPr>
      </w:pPr>
      <w:r w:rsidRPr="00D23B8F">
        <w:rPr>
          <w:rFonts w:asciiTheme="minorHAnsi" w:hAnsiTheme="minorHAnsi" w:cstheme="minorHAnsi"/>
        </w:rPr>
        <w:lastRenderedPageBreak/>
        <w:t>Evidence-based decision making</w:t>
      </w:r>
    </w:p>
    <w:p w14:paraId="19DAEFD3" w14:textId="77777777" w:rsidR="0001006E" w:rsidRPr="00D23B8F" w:rsidRDefault="0001006E" w:rsidP="008B1F03">
      <w:pPr>
        <w:spacing w:after="0" w:line="480" w:lineRule="auto"/>
        <w:rPr>
          <w:rFonts w:cstheme="minorHAnsi"/>
          <w:sz w:val="24"/>
          <w:szCs w:val="24"/>
        </w:rPr>
      </w:pPr>
      <w:r w:rsidRPr="00D23B8F">
        <w:rPr>
          <w:rFonts w:cstheme="minorHAnsi"/>
          <w:sz w:val="24"/>
          <w:szCs w:val="24"/>
        </w:rPr>
        <w:t xml:space="preserve">We are currently in an era where evidence-based policy making, or data-informed decision making </w:t>
      </w:r>
      <w:r w:rsidRPr="00D23B8F">
        <w:rPr>
          <w:rFonts w:cstheme="minorHAnsi"/>
          <w:noProof/>
          <w:sz w:val="24"/>
          <w:szCs w:val="24"/>
        </w:rPr>
        <w:t>(Allen 2002)</w:t>
      </w:r>
      <w:r w:rsidRPr="00D23B8F">
        <w:rPr>
          <w:rFonts w:cstheme="minorHAnsi"/>
          <w:sz w:val="24"/>
          <w:szCs w:val="24"/>
        </w:rPr>
        <w:t xml:space="preserve">, is crucially important </w:t>
      </w:r>
      <w:r w:rsidRPr="00D23B8F">
        <w:rPr>
          <w:rFonts w:cstheme="minorHAnsi"/>
          <w:noProof/>
          <w:sz w:val="24"/>
          <w:szCs w:val="24"/>
        </w:rPr>
        <w:t>(Prout 2010)</w:t>
      </w:r>
      <w:r w:rsidRPr="00D23B8F">
        <w:rPr>
          <w:rFonts w:cstheme="minorHAnsi"/>
          <w:sz w:val="24"/>
          <w:szCs w:val="24"/>
        </w:rPr>
        <w:t xml:space="preserve">.  Data and statistics concerning the same populations are obtained from a variety of sources.  Most of these sources have shortcomings that will be enumerated below.  These data issues have proven to be </w:t>
      </w:r>
      <w:r w:rsidRPr="00D23B8F">
        <w:rPr>
          <w:rFonts w:cstheme="minorHAnsi"/>
          <w:sz w:val="24"/>
          <w:szCs w:val="24"/>
        </w:rPr>
        <w:lastRenderedPageBreak/>
        <w:t xml:space="preserve">frustratingly persistent despite the best efforts of many government, industry and research groups </w:t>
      </w:r>
      <w:r w:rsidRPr="00D23B8F">
        <w:rPr>
          <w:rFonts w:cstheme="minorHAnsi"/>
          <w:noProof/>
          <w:sz w:val="24"/>
          <w:szCs w:val="24"/>
        </w:rPr>
        <w:t xml:space="preserve">(Australian Institute of Health and Welfare </w:t>
      </w:r>
      <w:r w:rsidR="000840A9">
        <w:rPr>
          <w:rFonts w:cstheme="minorHAnsi"/>
          <w:noProof/>
          <w:sz w:val="24"/>
          <w:szCs w:val="24"/>
        </w:rPr>
        <w:t>and</w:t>
      </w:r>
      <w:r w:rsidR="000840A9" w:rsidRPr="00D23B8F">
        <w:rPr>
          <w:rFonts w:cstheme="minorHAnsi"/>
          <w:noProof/>
          <w:sz w:val="24"/>
          <w:szCs w:val="24"/>
        </w:rPr>
        <w:t xml:space="preserve"> </w:t>
      </w:r>
      <w:r w:rsidRPr="00D23B8F">
        <w:rPr>
          <w:rFonts w:cstheme="minorHAnsi"/>
          <w:noProof/>
          <w:sz w:val="24"/>
          <w:szCs w:val="24"/>
        </w:rPr>
        <w:t>Australian Bureau of Statistics</w:t>
      </w:r>
      <w:r w:rsidR="000840A9">
        <w:rPr>
          <w:rFonts w:cstheme="minorHAnsi"/>
          <w:noProof/>
          <w:sz w:val="24"/>
          <w:szCs w:val="24"/>
        </w:rPr>
        <w:t xml:space="preserve"> </w:t>
      </w:r>
      <w:r w:rsidRPr="00D23B8F">
        <w:rPr>
          <w:rFonts w:cstheme="minorHAnsi"/>
          <w:noProof/>
          <w:sz w:val="24"/>
          <w:szCs w:val="24"/>
        </w:rPr>
        <w:t>2006; Gilbert 2010; Trewin 2002)</w:t>
      </w:r>
      <w:r w:rsidRPr="00D23B8F">
        <w:rPr>
          <w:rFonts w:cstheme="minorHAnsi"/>
          <w:sz w:val="24"/>
          <w:szCs w:val="24"/>
        </w:rPr>
        <w:t xml:space="preserve">. Further, frustration can arise from the transition of data into statistics, and discrepancies in the reporting of data for particular purposes </w:t>
      </w:r>
      <w:r w:rsidRPr="00D23B8F">
        <w:rPr>
          <w:rFonts w:cstheme="minorHAnsi"/>
          <w:noProof/>
          <w:sz w:val="24"/>
          <w:szCs w:val="24"/>
        </w:rPr>
        <w:lastRenderedPageBreak/>
        <w:t>(Jordan 2012)</w:t>
      </w:r>
      <w:r w:rsidRPr="00D23B8F">
        <w:rPr>
          <w:rFonts w:cstheme="minorHAnsi"/>
          <w:sz w:val="24"/>
          <w:szCs w:val="24"/>
        </w:rPr>
        <w:t xml:space="preserve">. Biddle (2014) has noted that despite an </w:t>
      </w:r>
      <w:r w:rsidR="000840A9">
        <w:rPr>
          <w:rFonts w:cstheme="minorHAnsi"/>
          <w:sz w:val="24"/>
          <w:szCs w:val="24"/>
        </w:rPr>
        <w:t>‘</w:t>
      </w:r>
      <w:r w:rsidRPr="00D23B8F">
        <w:rPr>
          <w:rFonts w:cstheme="minorHAnsi"/>
          <w:sz w:val="24"/>
          <w:szCs w:val="24"/>
        </w:rPr>
        <w:t>array of data about Indigenous Australians</w:t>
      </w:r>
      <w:r w:rsidR="000840A9">
        <w:rPr>
          <w:rFonts w:cstheme="minorHAnsi"/>
          <w:sz w:val="24"/>
          <w:szCs w:val="24"/>
        </w:rPr>
        <w:t>’</w:t>
      </w:r>
      <w:r w:rsidRPr="00D23B8F">
        <w:rPr>
          <w:rFonts w:cstheme="minorHAnsi"/>
          <w:sz w:val="24"/>
          <w:szCs w:val="24"/>
        </w:rPr>
        <w:t xml:space="preserve"> many gaps persist in </w:t>
      </w:r>
      <w:r w:rsidR="000840A9">
        <w:rPr>
          <w:rFonts w:cstheme="minorHAnsi"/>
          <w:sz w:val="24"/>
          <w:szCs w:val="24"/>
        </w:rPr>
        <w:t>‘</w:t>
      </w:r>
      <w:r w:rsidRPr="00D23B8F">
        <w:rPr>
          <w:rFonts w:cstheme="minorHAnsi"/>
          <w:sz w:val="24"/>
          <w:szCs w:val="24"/>
        </w:rPr>
        <w:t>our understanding of Indigenous demography, health, socioeconomic status and wellbeing</w:t>
      </w:r>
      <w:r w:rsidR="000840A9">
        <w:rPr>
          <w:rFonts w:cstheme="minorHAnsi"/>
          <w:sz w:val="24"/>
          <w:szCs w:val="24"/>
        </w:rPr>
        <w:t>’</w:t>
      </w:r>
      <w:r w:rsidRPr="00D23B8F">
        <w:rPr>
          <w:rFonts w:cstheme="minorHAnsi"/>
          <w:sz w:val="24"/>
          <w:szCs w:val="24"/>
        </w:rPr>
        <w:t xml:space="preserve"> (5).   </w:t>
      </w:r>
    </w:p>
    <w:p w14:paraId="7F2F201B" w14:textId="77777777" w:rsidR="0001006E" w:rsidRPr="00D23B8F" w:rsidRDefault="0001006E" w:rsidP="008B1F03">
      <w:pPr>
        <w:spacing w:before="100" w:beforeAutospacing="1" w:after="100" w:afterAutospacing="1" w:line="480" w:lineRule="auto"/>
        <w:rPr>
          <w:rFonts w:eastAsiaTheme="minorHAnsi" w:cstheme="minorHAnsi"/>
          <w:sz w:val="24"/>
          <w:szCs w:val="24"/>
          <w:lang w:eastAsia="en-US"/>
        </w:rPr>
      </w:pPr>
      <w:r w:rsidRPr="00D23B8F">
        <w:rPr>
          <w:rFonts w:cstheme="minorHAnsi"/>
          <w:sz w:val="24"/>
          <w:szCs w:val="24"/>
        </w:rPr>
        <w:t xml:space="preserve">Nevertheless, the Australian Bureau of Statistics </w:t>
      </w:r>
      <w:r w:rsidRPr="00D23B8F">
        <w:rPr>
          <w:rFonts w:eastAsiaTheme="minorHAnsi" w:cstheme="minorHAnsi"/>
          <w:sz w:val="24"/>
          <w:szCs w:val="24"/>
          <w:lang w:eastAsia="en-US"/>
        </w:rPr>
        <w:t>(2010b</w:t>
      </w:r>
      <w:r w:rsidRPr="00D23B8F">
        <w:rPr>
          <w:rFonts w:cstheme="minorHAnsi"/>
          <w:sz w:val="24"/>
          <w:szCs w:val="24"/>
        </w:rPr>
        <w:t xml:space="preserve">) argues that, </w:t>
      </w:r>
      <w:r w:rsidR="000840A9">
        <w:rPr>
          <w:rFonts w:cstheme="minorHAnsi"/>
          <w:sz w:val="24"/>
          <w:szCs w:val="24"/>
        </w:rPr>
        <w:t>‘</w:t>
      </w:r>
      <w:r w:rsidRPr="00D23B8F">
        <w:rPr>
          <w:rFonts w:eastAsiaTheme="minorHAnsi" w:cstheme="minorHAnsi"/>
          <w:sz w:val="24"/>
          <w:szCs w:val="24"/>
          <w:lang w:eastAsia="en-US"/>
        </w:rPr>
        <w:t xml:space="preserve">evidence-based decision making requires a systematic and rational approach to researching and analysing </w:t>
      </w:r>
      <w:r w:rsidRPr="00D23B8F">
        <w:rPr>
          <w:rFonts w:eastAsiaTheme="minorHAnsi" w:cstheme="minorHAnsi"/>
          <w:sz w:val="24"/>
          <w:szCs w:val="24"/>
          <w:lang w:eastAsia="en-US"/>
        </w:rPr>
        <w:lastRenderedPageBreak/>
        <w:t>available evidence to inform the policy making process</w:t>
      </w:r>
      <w:r w:rsidR="000840A9">
        <w:rPr>
          <w:rFonts w:eastAsiaTheme="minorHAnsi" w:cstheme="minorHAnsi"/>
          <w:sz w:val="24"/>
          <w:szCs w:val="24"/>
          <w:lang w:eastAsia="en-US"/>
        </w:rPr>
        <w:t>’</w:t>
      </w:r>
      <w:r w:rsidRPr="00D23B8F">
        <w:rPr>
          <w:rFonts w:eastAsiaTheme="minorHAnsi" w:cstheme="minorHAnsi"/>
          <w:sz w:val="24"/>
          <w:szCs w:val="24"/>
          <w:lang w:eastAsia="en-US"/>
        </w:rPr>
        <w:t xml:space="preserve">. </w:t>
      </w:r>
      <w:r w:rsidRPr="00D23B8F">
        <w:rPr>
          <w:rFonts w:cstheme="minorHAnsi"/>
          <w:sz w:val="24"/>
          <w:szCs w:val="24"/>
        </w:rPr>
        <w:t xml:space="preserve">The ABS further states that evidence-based decision making has the following advantages as it: </w:t>
      </w:r>
      <w:r w:rsidRPr="00D23B8F">
        <w:rPr>
          <w:rFonts w:eastAsiaTheme="minorHAnsi" w:cstheme="minorHAnsi"/>
          <w:sz w:val="24"/>
          <w:szCs w:val="24"/>
          <w:lang w:eastAsia="en-US"/>
        </w:rPr>
        <w:t xml:space="preserve"> </w:t>
      </w:r>
    </w:p>
    <w:p w14:paraId="4DEF9D53" w14:textId="77777777" w:rsidR="0001006E" w:rsidRPr="00D23B8F" w:rsidRDefault="0001006E" w:rsidP="008B1F03">
      <w:pPr>
        <w:pStyle w:val="ListParagraph"/>
        <w:numPr>
          <w:ilvl w:val="0"/>
          <w:numId w:val="3"/>
        </w:numPr>
        <w:spacing w:line="480" w:lineRule="auto"/>
        <w:ind w:left="714" w:hanging="357"/>
        <w:rPr>
          <w:rFonts w:cstheme="minorHAnsi"/>
          <w:sz w:val="24"/>
          <w:szCs w:val="24"/>
        </w:rPr>
      </w:pPr>
      <w:r w:rsidRPr="00D23B8F">
        <w:rPr>
          <w:rFonts w:cstheme="minorHAnsi"/>
          <w:sz w:val="24"/>
          <w:szCs w:val="24"/>
        </w:rPr>
        <w:t>Helps ensure that policies are responding to the real needs of the community, which in turn, can lead to better outcomes for the population in the long term.</w:t>
      </w:r>
    </w:p>
    <w:p w14:paraId="7C735A2E" w14:textId="77777777" w:rsidR="0001006E" w:rsidRPr="00D23B8F" w:rsidRDefault="0001006E" w:rsidP="008B1F03">
      <w:pPr>
        <w:pStyle w:val="ListParagraph"/>
        <w:numPr>
          <w:ilvl w:val="0"/>
          <w:numId w:val="3"/>
        </w:numPr>
        <w:spacing w:line="480" w:lineRule="auto"/>
        <w:ind w:left="714" w:hanging="357"/>
        <w:rPr>
          <w:rFonts w:cstheme="minorHAnsi"/>
          <w:sz w:val="24"/>
          <w:szCs w:val="24"/>
        </w:rPr>
      </w:pPr>
      <w:r w:rsidRPr="00D23B8F">
        <w:rPr>
          <w:rFonts w:cstheme="minorHAnsi"/>
          <w:sz w:val="24"/>
          <w:szCs w:val="24"/>
        </w:rPr>
        <w:lastRenderedPageBreak/>
        <w:t>Can highlight the urgency of an issue or problem which requires immediate attention. This is important in securing funding and resources for the policy to be developed, implemented and maintained.</w:t>
      </w:r>
    </w:p>
    <w:p w14:paraId="70579F87" w14:textId="77777777" w:rsidR="0001006E" w:rsidRPr="00D23B8F" w:rsidRDefault="0001006E" w:rsidP="008B1F03">
      <w:pPr>
        <w:pStyle w:val="ListParagraph"/>
        <w:numPr>
          <w:ilvl w:val="0"/>
          <w:numId w:val="3"/>
        </w:numPr>
        <w:spacing w:line="480" w:lineRule="auto"/>
        <w:ind w:left="714" w:hanging="357"/>
        <w:rPr>
          <w:rFonts w:cstheme="minorHAnsi"/>
          <w:sz w:val="24"/>
          <w:szCs w:val="24"/>
        </w:rPr>
      </w:pPr>
      <w:r w:rsidRPr="00D23B8F">
        <w:rPr>
          <w:rFonts w:cstheme="minorHAnsi"/>
          <w:sz w:val="24"/>
          <w:szCs w:val="24"/>
        </w:rPr>
        <w:t xml:space="preserve">Enables information sharing amongst other members of the public sector, in regard to what policies have or </w:t>
      </w:r>
      <w:r w:rsidRPr="00D23B8F">
        <w:rPr>
          <w:rFonts w:cstheme="minorHAnsi"/>
          <w:sz w:val="24"/>
          <w:szCs w:val="24"/>
        </w:rPr>
        <w:lastRenderedPageBreak/>
        <w:t>haven’t worked. This can enhance the decision making process.</w:t>
      </w:r>
    </w:p>
    <w:p w14:paraId="6C8FF1F4" w14:textId="77777777" w:rsidR="0001006E" w:rsidRPr="00D23B8F" w:rsidRDefault="0001006E" w:rsidP="008B1F03">
      <w:pPr>
        <w:pStyle w:val="ListParagraph"/>
        <w:numPr>
          <w:ilvl w:val="0"/>
          <w:numId w:val="3"/>
        </w:numPr>
        <w:spacing w:line="480" w:lineRule="auto"/>
        <w:ind w:left="714" w:hanging="357"/>
        <w:rPr>
          <w:rFonts w:cstheme="minorHAnsi"/>
          <w:sz w:val="24"/>
          <w:szCs w:val="24"/>
        </w:rPr>
      </w:pPr>
      <w:r w:rsidRPr="00D23B8F">
        <w:rPr>
          <w:rFonts w:cstheme="minorHAnsi"/>
          <w:sz w:val="24"/>
          <w:szCs w:val="24"/>
        </w:rPr>
        <w:t>Can reduce government expenditure which may otherwise be directed into ineffective policies or programs which could be costly and time consuming.</w:t>
      </w:r>
    </w:p>
    <w:p w14:paraId="69421DD7" w14:textId="77777777" w:rsidR="0001006E" w:rsidRPr="00D23B8F" w:rsidRDefault="0001006E" w:rsidP="008B1F03">
      <w:pPr>
        <w:pStyle w:val="ListParagraph"/>
        <w:numPr>
          <w:ilvl w:val="0"/>
          <w:numId w:val="3"/>
        </w:numPr>
        <w:spacing w:line="480" w:lineRule="auto"/>
        <w:ind w:left="714" w:hanging="357"/>
        <w:rPr>
          <w:rFonts w:cstheme="minorHAnsi"/>
          <w:sz w:val="24"/>
          <w:szCs w:val="24"/>
        </w:rPr>
      </w:pPr>
      <w:r w:rsidRPr="00D23B8F">
        <w:rPr>
          <w:rFonts w:cstheme="minorHAnsi"/>
          <w:sz w:val="24"/>
          <w:szCs w:val="24"/>
        </w:rPr>
        <w:t xml:space="preserve">Can produce an acceptable return on the financial investment that is allocated toward public programs by </w:t>
      </w:r>
      <w:r w:rsidRPr="00D23B8F">
        <w:rPr>
          <w:rFonts w:cstheme="minorHAnsi"/>
          <w:sz w:val="24"/>
          <w:szCs w:val="24"/>
        </w:rPr>
        <w:lastRenderedPageBreak/>
        <w:t>improving service delivery and outcomes for the Australian community.</w:t>
      </w:r>
    </w:p>
    <w:p w14:paraId="287FB938" w14:textId="77777777" w:rsidR="0001006E" w:rsidRPr="00D23B8F" w:rsidRDefault="0001006E" w:rsidP="008B1F03">
      <w:pPr>
        <w:pStyle w:val="ListParagraph"/>
        <w:numPr>
          <w:ilvl w:val="0"/>
          <w:numId w:val="3"/>
        </w:numPr>
        <w:spacing w:line="480" w:lineRule="auto"/>
        <w:ind w:left="714" w:hanging="357"/>
        <w:rPr>
          <w:rFonts w:cstheme="minorHAnsi"/>
          <w:sz w:val="24"/>
          <w:szCs w:val="24"/>
        </w:rPr>
      </w:pPr>
      <w:r w:rsidRPr="00D23B8F">
        <w:rPr>
          <w:rFonts w:cstheme="minorHAnsi"/>
          <w:sz w:val="24"/>
          <w:szCs w:val="24"/>
        </w:rPr>
        <w:t>Ensures that decisions are made in a way that is consistent with our democratic and political processes which are characterised by transparency and accountability.</w:t>
      </w:r>
    </w:p>
    <w:p w14:paraId="46F15357" w14:textId="77777777" w:rsidR="0001006E" w:rsidRPr="00D23B8F" w:rsidRDefault="0001006E" w:rsidP="008B1F03">
      <w:pPr>
        <w:spacing w:line="480" w:lineRule="auto"/>
        <w:ind w:firstLine="714"/>
        <w:rPr>
          <w:rFonts w:cstheme="minorHAnsi"/>
          <w:sz w:val="24"/>
          <w:szCs w:val="24"/>
        </w:rPr>
      </w:pPr>
      <w:r w:rsidRPr="00D23B8F">
        <w:rPr>
          <w:rFonts w:cstheme="minorHAnsi"/>
          <w:sz w:val="24"/>
          <w:szCs w:val="24"/>
        </w:rPr>
        <w:t>(ABS, 2010)</w:t>
      </w:r>
    </w:p>
    <w:p w14:paraId="3316FAB6" w14:textId="77777777" w:rsidR="0001006E" w:rsidRPr="00D23B8F" w:rsidRDefault="0001006E" w:rsidP="008B1F03">
      <w:pPr>
        <w:spacing w:line="480" w:lineRule="auto"/>
        <w:rPr>
          <w:rFonts w:cstheme="minorHAnsi"/>
          <w:sz w:val="24"/>
          <w:szCs w:val="24"/>
        </w:rPr>
      </w:pPr>
      <w:r w:rsidRPr="00D23B8F">
        <w:rPr>
          <w:rFonts w:cstheme="minorHAnsi"/>
          <w:sz w:val="24"/>
          <w:szCs w:val="24"/>
        </w:rPr>
        <w:lastRenderedPageBreak/>
        <w:t>It is incumbent on those utilising an evidence-based approach to ensure that the evidence is of sufficiently high qua</w:t>
      </w:r>
      <w:r w:rsidR="004C6574" w:rsidRPr="00D23B8F">
        <w:rPr>
          <w:rFonts w:cstheme="minorHAnsi"/>
          <w:sz w:val="24"/>
          <w:szCs w:val="24"/>
        </w:rPr>
        <w:t>lity to render it unimpeachable and particularly to interrogate it for signs of cultural insensitivity or blindness</w:t>
      </w:r>
      <w:r w:rsidR="00AC5928" w:rsidRPr="00D23B8F">
        <w:rPr>
          <w:rFonts w:cstheme="minorHAnsi"/>
          <w:sz w:val="24"/>
          <w:szCs w:val="24"/>
        </w:rPr>
        <w:t>.</w:t>
      </w:r>
    </w:p>
    <w:p w14:paraId="139CE43F" w14:textId="77777777" w:rsidR="003B34CF" w:rsidRPr="00D23B8F" w:rsidRDefault="003B34CF" w:rsidP="008B1F03">
      <w:pPr>
        <w:pStyle w:val="Heading2"/>
        <w:spacing w:line="480" w:lineRule="auto"/>
        <w:ind w:left="0"/>
        <w:rPr>
          <w:rFonts w:asciiTheme="minorHAnsi" w:hAnsiTheme="minorHAnsi" w:cstheme="minorHAnsi"/>
        </w:rPr>
      </w:pPr>
      <w:r w:rsidRPr="00D23B8F">
        <w:rPr>
          <w:rFonts w:asciiTheme="minorHAnsi" w:hAnsiTheme="minorHAnsi" w:cstheme="minorHAnsi"/>
        </w:rPr>
        <w:lastRenderedPageBreak/>
        <w:t xml:space="preserve">The need for a shared </w:t>
      </w:r>
      <w:r w:rsidR="00F01D29" w:rsidRPr="00D23B8F">
        <w:rPr>
          <w:rFonts w:asciiTheme="minorHAnsi" w:hAnsiTheme="minorHAnsi" w:cstheme="minorHAnsi"/>
        </w:rPr>
        <w:t>c</w:t>
      </w:r>
      <w:r w:rsidRPr="00D23B8F">
        <w:rPr>
          <w:rFonts w:asciiTheme="minorHAnsi" w:hAnsiTheme="minorHAnsi" w:cstheme="minorHAnsi"/>
        </w:rPr>
        <w:t xml:space="preserve">ritical </w:t>
      </w:r>
      <w:r w:rsidR="00F01D29" w:rsidRPr="00D23B8F">
        <w:rPr>
          <w:rFonts w:asciiTheme="minorHAnsi" w:hAnsiTheme="minorHAnsi" w:cstheme="minorHAnsi"/>
        </w:rPr>
        <w:t>s</w:t>
      </w:r>
      <w:r w:rsidRPr="00D23B8F">
        <w:rPr>
          <w:rFonts w:asciiTheme="minorHAnsi" w:hAnsiTheme="minorHAnsi" w:cstheme="minorHAnsi"/>
        </w:rPr>
        <w:t xml:space="preserve">tatistical </w:t>
      </w:r>
      <w:r w:rsidR="00F01D29" w:rsidRPr="00D23B8F">
        <w:rPr>
          <w:rFonts w:asciiTheme="minorHAnsi" w:hAnsiTheme="minorHAnsi" w:cstheme="minorHAnsi"/>
        </w:rPr>
        <w:t>l</w:t>
      </w:r>
      <w:r w:rsidRPr="00D23B8F">
        <w:rPr>
          <w:rFonts w:asciiTheme="minorHAnsi" w:hAnsiTheme="minorHAnsi" w:cstheme="minorHAnsi"/>
        </w:rPr>
        <w:t>iteracy</w:t>
      </w:r>
    </w:p>
    <w:p w14:paraId="04ED0D59" w14:textId="77777777" w:rsidR="003B34CF" w:rsidRPr="00D23B8F" w:rsidRDefault="003B34CF" w:rsidP="008B1F03">
      <w:pPr>
        <w:spacing w:line="480" w:lineRule="auto"/>
        <w:rPr>
          <w:rFonts w:eastAsiaTheme="minorHAnsi" w:cstheme="minorHAnsi"/>
          <w:sz w:val="24"/>
          <w:szCs w:val="24"/>
          <w:lang w:eastAsia="en-US"/>
        </w:rPr>
      </w:pPr>
      <w:r w:rsidRPr="00D23B8F">
        <w:rPr>
          <w:rFonts w:cstheme="minorHAnsi"/>
          <w:sz w:val="24"/>
          <w:szCs w:val="24"/>
        </w:rPr>
        <w:t xml:space="preserve">Clearly the conceptual and methodological issues discussed above indicate the need for a shared critical statistical literacy. </w:t>
      </w:r>
      <w:r w:rsidR="006963A7" w:rsidRPr="00D23B8F">
        <w:rPr>
          <w:rFonts w:cstheme="minorHAnsi"/>
          <w:sz w:val="24"/>
          <w:szCs w:val="24"/>
        </w:rPr>
        <w:t xml:space="preserve">Walter’s (2010) observation that, </w:t>
      </w:r>
      <w:r w:rsidR="000840A9">
        <w:rPr>
          <w:rFonts w:cstheme="minorHAnsi"/>
          <w:sz w:val="24"/>
          <w:szCs w:val="24"/>
        </w:rPr>
        <w:t>‘</w:t>
      </w:r>
      <w:r w:rsidR="006963A7" w:rsidRPr="00D23B8F">
        <w:rPr>
          <w:rFonts w:cstheme="minorHAnsi"/>
          <w:sz w:val="24"/>
          <w:szCs w:val="24"/>
        </w:rPr>
        <w:t>…statistics provide an interpretive mechanism for societal understandings across social, cultural, economic and political dimensions</w:t>
      </w:r>
      <w:r w:rsidR="000840A9">
        <w:rPr>
          <w:rFonts w:cstheme="minorHAnsi"/>
          <w:sz w:val="24"/>
          <w:szCs w:val="24"/>
        </w:rPr>
        <w:t>’</w:t>
      </w:r>
      <w:r w:rsidR="006963A7" w:rsidRPr="00D23B8F">
        <w:rPr>
          <w:rFonts w:cstheme="minorHAnsi"/>
          <w:sz w:val="24"/>
          <w:szCs w:val="24"/>
        </w:rPr>
        <w:t xml:space="preserve"> </w:t>
      </w:r>
      <w:r w:rsidR="006963A7" w:rsidRPr="00D23B8F">
        <w:rPr>
          <w:rFonts w:cstheme="minorHAnsi"/>
          <w:sz w:val="24"/>
          <w:szCs w:val="24"/>
        </w:rPr>
        <w:lastRenderedPageBreak/>
        <w:t xml:space="preserve">(45) is a rallying call for enhanced critical statistical literacy.  </w:t>
      </w:r>
      <w:r w:rsidR="00144BEB" w:rsidRPr="00D23B8F">
        <w:rPr>
          <w:rFonts w:cstheme="minorHAnsi"/>
          <w:sz w:val="24"/>
          <w:szCs w:val="24"/>
        </w:rPr>
        <w:t xml:space="preserve">The ABS has a strong commitment to enhancing statistical literacy and describes four competencies that underpin </w:t>
      </w:r>
      <w:r w:rsidR="002C6B6E" w:rsidRPr="00D23B8F">
        <w:rPr>
          <w:rFonts w:cstheme="minorHAnsi"/>
          <w:sz w:val="24"/>
          <w:szCs w:val="24"/>
        </w:rPr>
        <w:t>the concept</w:t>
      </w:r>
      <w:r w:rsidR="00F86781" w:rsidRPr="00D23B8F">
        <w:rPr>
          <w:rFonts w:cstheme="minorHAnsi"/>
          <w:sz w:val="24"/>
          <w:szCs w:val="24"/>
        </w:rPr>
        <w:t>: data awareness;</w:t>
      </w:r>
      <w:r w:rsidR="00144BEB" w:rsidRPr="00D23B8F">
        <w:rPr>
          <w:rFonts w:cstheme="minorHAnsi"/>
          <w:sz w:val="24"/>
          <w:szCs w:val="24"/>
        </w:rPr>
        <w:t xml:space="preserve"> und</w:t>
      </w:r>
      <w:r w:rsidR="00F86781" w:rsidRPr="00D23B8F">
        <w:rPr>
          <w:rFonts w:cstheme="minorHAnsi"/>
          <w:sz w:val="24"/>
          <w:szCs w:val="24"/>
        </w:rPr>
        <w:t>erstanding statistical concepts;</w:t>
      </w:r>
      <w:r w:rsidR="00144BEB" w:rsidRPr="00D23B8F">
        <w:rPr>
          <w:rFonts w:cstheme="minorHAnsi"/>
          <w:sz w:val="24"/>
          <w:szCs w:val="24"/>
        </w:rPr>
        <w:t xml:space="preserve"> analysing and evaluating statistical information</w:t>
      </w:r>
      <w:r w:rsidR="00F86781" w:rsidRPr="00D23B8F">
        <w:rPr>
          <w:rFonts w:cstheme="minorHAnsi"/>
          <w:sz w:val="24"/>
          <w:szCs w:val="24"/>
        </w:rPr>
        <w:t>;</w:t>
      </w:r>
      <w:r w:rsidR="00144BEB" w:rsidRPr="00D23B8F">
        <w:rPr>
          <w:rFonts w:cstheme="minorHAnsi"/>
          <w:sz w:val="24"/>
          <w:szCs w:val="24"/>
        </w:rPr>
        <w:t xml:space="preserve"> and</w:t>
      </w:r>
      <w:r w:rsidR="00F86781" w:rsidRPr="00D23B8F">
        <w:rPr>
          <w:rFonts w:cstheme="minorHAnsi"/>
          <w:sz w:val="24"/>
          <w:szCs w:val="24"/>
        </w:rPr>
        <w:t>,</w:t>
      </w:r>
      <w:r w:rsidR="00144BEB" w:rsidRPr="00D23B8F">
        <w:rPr>
          <w:rFonts w:cstheme="minorHAnsi"/>
          <w:sz w:val="24"/>
          <w:szCs w:val="24"/>
        </w:rPr>
        <w:t xml:space="preserve"> communicating statistical information.  We do not think this goes far enough</w:t>
      </w:r>
      <w:r w:rsidR="00763AC1" w:rsidRPr="00D23B8F">
        <w:rPr>
          <w:rFonts w:cstheme="minorHAnsi"/>
          <w:sz w:val="24"/>
          <w:szCs w:val="24"/>
        </w:rPr>
        <w:t xml:space="preserve">. </w:t>
      </w:r>
      <w:r w:rsidR="001277CA" w:rsidRPr="00D23B8F">
        <w:rPr>
          <w:rFonts w:cstheme="minorHAnsi"/>
          <w:sz w:val="24"/>
          <w:szCs w:val="24"/>
        </w:rPr>
        <w:t xml:space="preserve"> </w:t>
      </w:r>
      <w:r w:rsidR="00763AC1" w:rsidRPr="00D23B8F">
        <w:rPr>
          <w:rFonts w:cstheme="minorHAnsi"/>
          <w:sz w:val="24"/>
          <w:szCs w:val="24"/>
        </w:rPr>
        <w:t>Nor</w:t>
      </w:r>
      <w:r w:rsidR="00144BEB" w:rsidRPr="00D23B8F">
        <w:rPr>
          <w:rFonts w:cstheme="minorHAnsi"/>
          <w:sz w:val="24"/>
          <w:szCs w:val="24"/>
        </w:rPr>
        <w:t xml:space="preserve"> does </w:t>
      </w:r>
      <w:r w:rsidR="00763AC1" w:rsidRPr="00D23B8F">
        <w:rPr>
          <w:rFonts w:cstheme="minorHAnsi"/>
          <w:sz w:val="24"/>
          <w:szCs w:val="24"/>
        </w:rPr>
        <w:t xml:space="preserve">it </w:t>
      </w:r>
      <w:r w:rsidR="00144BEB" w:rsidRPr="00D23B8F">
        <w:rPr>
          <w:rFonts w:cstheme="minorHAnsi"/>
          <w:sz w:val="24"/>
          <w:szCs w:val="24"/>
        </w:rPr>
        <w:t xml:space="preserve">fully articulate the </w:t>
      </w:r>
      <w:r w:rsidR="00144BEB" w:rsidRPr="00D23B8F">
        <w:rPr>
          <w:rFonts w:cstheme="minorHAnsi"/>
          <w:sz w:val="24"/>
          <w:szCs w:val="24"/>
        </w:rPr>
        <w:lastRenderedPageBreak/>
        <w:t xml:space="preserve">complexities of statistical literacy in cultural contexts.  </w:t>
      </w:r>
      <w:r w:rsidR="003452AD" w:rsidRPr="00D23B8F">
        <w:rPr>
          <w:rFonts w:cstheme="minorHAnsi"/>
          <w:sz w:val="24"/>
          <w:szCs w:val="24"/>
        </w:rPr>
        <w:t>Writing from t</w:t>
      </w:r>
      <w:r w:rsidRPr="00D23B8F">
        <w:rPr>
          <w:rFonts w:cstheme="minorHAnsi"/>
          <w:sz w:val="24"/>
          <w:szCs w:val="24"/>
        </w:rPr>
        <w:t xml:space="preserve">he </w:t>
      </w:r>
      <w:r w:rsidR="003452AD" w:rsidRPr="00D23B8F">
        <w:rPr>
          <w:rFonts w:cstheme="minorHAnsi"/>
          <w:sz w:val="24"/>
          <w:szCs w:val="24"/>
        </w:rPr>
        <w:t xml:space="preserve">health sector, </w:t>
      </w:r>
      <w:r w:rsidR="00525AB2" w:rsidRPr="00D23B8F">
        <w:rPr>
          <w:rFonts w:eastAsiaTheme="minorHAnsi" w:cstheme="minorHAnsi"/>
          <w:sz w:val="24"/>
          <w:szCs w:val="24"/>
          <w:lang w:eastAsia="en-US"/>
        </w:rPr>
        <w:t>Zarcadoolas, Pleasant and Greer</w:t>
      </w:r>
      <w:r w:rsidRPr="00D23B8F">
        <w:rPr>
          <w:rFonts w:eastAsiaTheme="minorHAnsi" w:cstheme="minorHAnsi"/>
          <w:sz w:val="24"/>
          <w:szCs w:val="24"/>
          <w:lang w:eastAsia="en-US"/>
        </w:rPr>
        <w:t xml:space="preserve"> </w:t>
      </w:r>
      <w:r w:rsidR="00144BEB" w:rsidRPr="00D23B8F">
        <w:rPr>
          <w:rFonts w:eastAsiaTheme="minorHAnsi" w:cstheme="minorHAnsi"/>
          <w:sz w:val="24"/>
          <w:szCs w:val="24"/>
          <w:lang w:eastAsia="en-US"/>
        </w:rPr>
        <w:t xml:space="preserve">(2003) </w:t>
      </w:r>
      <w:r w:rsidRPr="00D23B8F">
        <w:rPr>
          <w:rFonts w:eastAsiaTheme="minorHAnsi" w:cstheme="minorHAnsi"/>
          <w:sz w:val="24"/>
          <w:szCs w:val="24"/>
          <w:lang w:eastAsia="en-US"/>
        </w:rPr>
        <w:t>describe four k</w:t>
      </w:r>
      <w:r w:rsidR="00144BEB" w:rsidRPr="00D23B8F">
        <w:rPr>
          <w:rFonts w:eastAsiaTheme="minorHAnsi" w:cstheme="minorHAnsi"/>
          <w:sz w:val="24"/>
          <w:szCs w:val="24"/>
          <w:lang w:eastAsia="en-US"/>
        </w:rPr>
        <w:t xml:space="preserve">ey domains of health literacy: </w:t>
      </w:r>
      <w:r w:rsidRPr="00D23B8F">
        <w:rPr>
          <w:rFonts w:eastAsiaTheme="minorHAnsi" w:cstheme="minorHAnsi"/>
          <w:sz w:val="24"/>
          <w:szCs w:val="24"/>
          <w:lang w:eastAsia="en-US"/>
        </w:rPr>
        <w:t>fundamental, scientific, community</w:t>
      </w:r>
      <w:r w:rsidR="00493177" w:rsidRPr="00D23B8F">
        <w:rPr>
          <w:rFonts w:eastAsiaTheme="minorHAnsi" w:cstheme="minorHAnsi"/>
          <w:sz w:val="24"/>
          <w:szCs w:val="24"/>
          <w:lang w:eastAsia="en-US"/>
        </w:rPr>
        <w:t xml:space="preserve"> (civic)</w:t>
      </w:r>
      <w:r w:rsidRPr="00D23B8F">
        <w:rPr>
          <w:rFonts w:eastAsiaTheme="minorHAnsi" w:cstheme="minorHAnsi"/>
          <w:sz w:val="24"/>
          <w:szCs w:val="24"/>
          <w:lang w:eastAsia="en-US"/>
        </w:rPr>
        <w:t xml:space="preserve"> and cultural.</w:t>
      </w:r>
      <w:r w:rsidR="001277CA" w:rsidRPr="00D23B8F">
        <w:rPr>
          <w:rFonts w:eastAsiaTheme="minorHAnsi" w:cstheme="minorHAnsi"/>
          <w:b/>
          <w:bCs/>
          <w:i/>
          <w:iCs/>
          <w:lang w:eastAsia="en-US"/>
        </w:rPr>
        <w:t xml:space="preserve"> </w:t>
      </w:r>
      <w:r w:rsidR="00493177" w:rsidRPr="00D23B8F">
        <w:rPr>
          <w:rFonts w:eastAsiaTheme="minorHAnsi" w:cstheme="minorHAnsi"/>
          <w:sz w:val="24"/>
          <w:szCs w:val="24"/>
          <w:lang w:eastAsia="en-US"/>
        </w:rPr>
        <w:t>While the first two are essential and foundational</w:t>
      </w:r>
      <w:r w:rsidR="00F86781" w:rsidRPr="00D23B8F">
        <w:rPr>
          <w:rFonts w:eastAsiaTheme="minorHAnsi" w:cstheme="minorHAnsi"/>
          <w:sz w:val="24"/>
          <w:szCs w:val="24"/>
          <w:lang w:eastAsia="en-US"/>
        </w:rPr>
        <w:t>,</w:t>
      </w:r>
      <w:r w:rsidR="00493177" w:rsidRPr="00D23B8F">
        <w:rPr>
          <w:rFonts w:eastAsiaTheme="minorHAnsi" w:cstheme="minorHAnsi"/>
          <w:sz w:val="24"/>
          <w:szCs w:val="24"/>
          <w:lang w:eastAsia="en-US"/>
        </w:rPr>
        <w:t xml:space="preserve"> the last two domains are crucial in the pursuit of culturally appropriate critical health literacy, as they are in pursuit of critical </w:t>
      </w:r>
      <w:r w:rsidR="00493177" w:rsidRPr="00D23B8F">
        <w:rPr>
          <w:rFonts w:eastAsiaTheme="minorHAnsi" w:cstheme="minorHAnsi"/>
          <w:sz w:val="24"/>
          <w:szCs w:val="24"/>
          <w:lang w:eastAsia="en-US"/>
        </w:rPr>
        <w:lastRenderedPageBreak/>
        <w:t xml:space="preserve">statistical literacy. </w:t>
      </w:r>
      <w:r w:rsidR="001277CA" w:rsidRPr="00D23B8F">
        <w:rPr>
          <w:rFonts w:eastAsiaTheme="minorHAnsi" w:cstheme="minorHAnsi"/>
          <w:sz w:val="24"/>
          <w:szCs w:val="24"/>
          <w:lang w:eastAsia="en-US"/>
        </w:rPr>
        <w:t xml:space="preserve"> </w:t>
      </w:r>
      <w:r w:rsidR="00493177" w:rsidRPr="00D23B8F">
        <w:rPr>
          <w:rFonts w:eastAsiaTheme="minorHAnsi" w:cstheme="minorHAnsi"/>
          <w:sz w:val="24"/>
          <w:szCs w:val="24"/>
          <w:lang w:eastAsia="en-US"/>
        </w:rPr>
        <w:t xml:space="preserve">Community (or civic) literacy refers to an ability to identify the motivations and agendas behind health policy and practice in order to name and interrogate them.  </w:t>
      </w:r>
      <w:r w:rsidR="004323CA" w:rsidRPr="00D23B8F">
        <w:rPr>
          <w:rFonts w:eastAsiaTheme="minorHAnsi" w:cstheme="minorHAnsi"/>
          <w:sz w:val="24"/>
          <w:szCs w:val="24"/>
          <w:lang w:eastAsia="en-US"/>
        </w:rPr>
        <w:t xml:space="preserve">This is known as the literacy environment. </w:t>
      </w:r>
      <w:r w:rsidR="00493177" w:rsidRPr="00D23B8F">
        <w:rPr>
          <w:rFonts w:eastAsiaTheme="minorHAnsi" w:cstheme="minorHAnsi"/>
          <w:sz w:val="24"/>
          <w:szCs w:val="24"/>
          <w:lang w:eastAsia="en-US"/>
        </w:rPr>
        <w:t>Cultural health literacy involves recogni</w:t>
      </w:r>
      <w:r w:rsidR="002C6B6E" w:rsidRPr="00D23B8F">
        <w:rPr>
          <w:rFonts w:eastAsiaTheme="minorHAnsi" w:cstheme="minorHAnsi"/>
          <w:sz w:val="24"/>
          <w:szCs w:val="24"/>
          <w:lang w:eastAsia="en-US"/>
        </w:rPr>
        <w:t>s</w:t>
      </w:r>
      <w:r w:rsidR="00493177" w:rsidRPr="00D23B8F">
        <w:rPr>
          <w:rFonts w:eastAsiaTheme="minorHAnsi" w:cstheme="minorHAnsi"/>
          <w:sz w:val="24"/>
          <w:szCs w:val="24"/>
          <w:lang w:eastAsia="en-US"/>
        </w:rPr>
        <w:t xml:space="preserve">ing cultural </w:t>
      </w:r>
      <w:r w:rsidR="004323CA" w:rsidRPr="00D23B8F">
        <w:rPr>
          <w:rFonts w:eastAsiaTheme="minorHAnsi" w:cstheme="minorHAnsi"/>
          <w:sz w:val="24"/>
          <w:szCs w:val="24"/>
          <w:lang w:eastAsia="en-US"/>
        </w:rPr>
        <w:t>knowledge</w:t>
      </w:r>
      <w:r w:rsidR="00493177" w:rsidRPr="00D23B8F">
        <w:rPr>
          <w:rFonts w:eastAsiaTheme="minorHAnsi" w:cstheme="minorHAnsi"/>
          <w:sz w:val="24"/>
          <w:szCs w:val="24"/>
          <w:lang w:eastAsia="en-US"/>
        </w:rPr>
        <w:t>, worldviews, customs and practices and understanding how they impact on health and health</w:t>
      </w:r>
      <w:r w:rsidR="00AB3CCC" w:rsidRPr="00D23B8F">
        <w:rPr>
          <w:rFonts w:eastAsiaTheme="minorHAnsi" w:cstheme="minorHAnsi"/>
          <w:sz w:val="24"/>
          <w:szCs w:val="24"/>
          <w:lang w:eastAsia="en-US"/>
        </w:rPr>
        <w:t>-</w:t>
      </w:r>
      <w:r w:rsidR="00493177" w:rsidRPr="00D23B8F">
        <w:rPr>
          <w:rFonts w:eastAsiaTheme="minorHAnsi" w:cstheme="minorHAnsi"/>
          <w:sz w:val="24"/>
          <w:szCs w:val="24"/>
          <w:lang w:eastAsia="en-US"/>
        </w:rPr>
        <w:t xml:space="preserve">related behaviour. </w:t>
      </w:r>
      <w:r w:rsidR="00A84330" w:rsidRPr="00D23B8F">
        <w:rPr>
          <w:rFonts w:eastAsiaTheme="minorHAnsi" w:cstheme="minorHAnsi"/>
          <w:sz w:val="24"/>
          <w:szCs w:val="24"/>
          <w:lang w:eastAsia="en-US"/>
        </w:rPr>
        <w:t xml:space="preserve"> </w:t>
      </w:r>
      <w:r w:rsidR="00DE2E23" w:rsidRPr="00D23B8F">
        <w:rPr>
          <w:rFonts w:eastAsiaTheme="minorHAnsi" w:cstheme="minorHAnsi"/>
          <w:sz w:val="24"/>
          <w:szCs w:val="24"/>
          <w:lang w:eastAsia="en-US"/>
        </w:rPr>
        <w:t xml:space="preserve">So, </w:t>
      </w:r>
      <w:r w:rsidR="00DE2E23" w:rsidRPr="00D23B8F">
        <w:rPr>
          <w:rFonts w:eastAsiaTheme="minorHAnsi" w:cstheme="minorHAnsi"/>
          <w:sz w:val="24"/>
          <w:szCs w:val="24"/>
          <w:lang w:eastAsia="en-US"/>
        </w:rPr>
        <w:lastRenderedPageBreak/>
        <w:t>drawing on these principles</w:t>
      </w:r>
      <w:r w:rsidR="00851D39" w:rsidRPr="00D23B8F">
        <w:rPr>
          <w:rFonts w:eastAsiaTheme="minorHAnsi" w:cstheme="minorHAnsi"/>
          <w:sz w:val="24"/>
          <w:szCs w:val="24"/>
          <w:lang w:eastAsia="en-US"/>
        </w:rPr>
        <w:t>,</w:t>
      </w:r>
      <w:r w:rsidR="00DE2E23" w:rsidRPr="00D23B8F">
        <w:rPr>
          <w:rFonts w:eastAsiaTheme="minorHAnsi" w:cstheme="minorHAnsi"/>
          <w:sz w:val="24"/>
          <w:szCs w:val="24"/>
          <w:lang w:eastAsia="en-US"/>
        </w:rPr>
        <w:t xml:space="preserve"> </w:t>
      </w:r>
      <w:r w:rsidR="00E67D75" w:rsidRPr="00D23B8F">
        <w:rPr>
          <w:rFonts w:eastAsiaTheme="minorHAnsi" w:cstheme="minorHAnsi"/>
          <w:sz w:val="24"/>
          <w:szCs w:val="24"/>
          <w:lang w:eastAsia="en-US"/>
        </w:rPr>
        <w:t xml:space="preserve">critical </w:t>
      </w:r>
      <w:r w:rsidR="00F521D9" w:rsidRPr="00D23B8F">
        <w:rPr>
          <w:rFonts w:eastAsiaTheme="minorHAnsi" w:cstheme="minorHAnsi"/>
          <w:sz w:val="24"/>
          <w:szCs w:val="24"/>
          <w:lang w:eastAsia="en-US"/>
        </w:rPr>
        <w:t xml:space="preserve">statistical literacy </w:t>
      </w:r>
      <w:r w:rsidR="00681EF4" w:rsidRPr="00D23B8F">
        <w:rPr>
          <w:rFonts w:eastAsiaTheme="minorHAnsi" w:cstheme="minorHAnsi"/>
          <w:sz w:val="24"/>
          <w:szCs w:val="24"/>
          <w:lang w:eastAsia="en-US"/>
        </w:rPr>
        <w:t>may be defined as</w:t>
      </w:r>
      <w:r w:rsidR="00F521D9" w:rsidRPr="00D23B8F">
        <w:rPr>
          <w:rFonts w:eastAsiaTheme="minorHAnsi" w:cstheme="minorHAnsi"/>
          <w:sz w:val="24"/>
          <w:szCs w:val="24"/>
          <w:lang w:eastAsia="en-US"/>
        </w:rPr>
        <w:t>:</w:t>
      </w:r>
    </w:p>
    <w:p w14:paraId="1525B540" w14:textId="77777777" w:rsidR="00F2359D" w:rsidRPr="00D23B8F" w:rsidRDefault="003B34CF" w:rsidP="008B1F03">
      <w:pPr>
        <w:widowControl w:val="0"/>
        <w:autoSpaceDE w:val="0"/>
        <w:autoSpaceDN w:val="0"/>
        <w:adjustRightInd w:val="0"/>
        <w:spacing w:after="240" w:line="480" w:lineRule="auto"/>
        <w:ind w:left="1440"/>
        <w:rPr>
          <w:rFonts w:eastAsiaTheme="minorHAnsi" w:cstheme="minorHAnsi"/>
          <w:i/>
          <w:iCs/>
          <w:sz w:val="24"/>
          <w:szCs w:val="24"/>
          <w:lang w:eastAsia="en-US"/>
        </w:rPr>
      </w:pPr>
      <w:r w:rsidRPr="00D23B8F">
        <w:rPr>
          <w:rFonts w:eastAsiaTheme="minorHAnsi" w:cstheme="minorHAnsi"/>
          <w:i/>
          <w:iCs/>
          <w:sz w:val="24"/>
          <w:szCs w:val="24"/>
          <w:lang w:eastAsia="en-US"/>
        </w:rPr>
        <w:t xml:space="preserve">The evolving skills and competencies needed to find, comprehend, evaluate and use </w:t>
      </w:r>
      <w:r w:rsidR="00F521D9" w:rsidRPr="00D23B8F">
        <w:rPr>
          <w:rFonts w:eastAsiaTheme="minorHAnsi" w:cstheme="minorHAnsi"/>
          <w:i/>
          <w:iCs/>
          <w:sz w:val="24"/>
          <w:szCs w:val="24"/>
          <w:lang w:eastAsia="en-US"/>
        </w:rPr>
        <w:t>statistical</w:t>
      </w:r>
      <w:r w:rsidRPr="00D23B8F">
        <w:rPr>
          <w:rFonts w:eastAsiaTheme="minorHAnsi" w:cstheme="minorHAnsi"/>
          <w:i/>
          <w:iCs/>
          <w:sz w:val="24"/>
          <w:szCs w:val="24"/>
          <w:lang w:eastAsia="en-US"/>
        </w:rPr>
        <w:t xml:space="preserve"> information and concepts to make educated choices. A </w:t>
      </w:r>
      <w:r w:rsidR="004323CA" w:rsidRPr="00D23B8F">
        <w:rPr>
          <w:rFonts w:eastAsiaTheme="minorHAnsi" w:cstheme="minorHAnsi"/>
          <w:i/>
          <w:iCs/>
          <w:sz w:val="24"/>
          <w:szCs w:val="24"/>
          <w:lang w:eastAsia="en-US"/>
        </w:rPr>
        <w:t>statistically</w:t>
      </w:r>
      <w:r w:rsidRPr="00D23B8F">
        <w:rPr>
          <w:rFonts w:eastAsiaTheme="minorHAnsi" w:cstheme="minorHAnsi"/>
          <w:i/>
          <w:iCs/>
          <w:sz w:val="24"/>
          <w:szCs w:val="24"/>
          <w:lang w:eastAsia="en-US"/>
        </w:rPr>
        <w:t xml:space="preserve"> literate person is able to </w:t>
      </w:r>
      <w:r w:rsidRPr="00D23B8F">
        <w:rPr>
          <w:rFonts w:eastAsiaTheme="minorHAnsi" w:cstheme="minorHAnsi"/>
          <w:i/>
          <w:iCs/>
          <w:sz w:val="24"/>
          <w:szCs w:val="24"/>
          <w:lang w:eastAsia="en-US"/>
        </w:rPr>
        <w:lastRenderedPageBreak/>
        <w:t xml:space="preserve">apply concepts and information to novel situations. A </w:t>
      </w:r>
      <w:r w:rsidR="004323CA" w:rsidRPr="00D23B8F">
        <w:rPr>
          <w:rFonts w:eastAsiaTheme="minorHAnsi" w:cstheme="minorHAnsi"/>
          <w:i/>
          <w:iCs/>
          <w:sz w:val="24"/>
          <w:szCs w:val="24"/>
          <w:lang w:eastAsia="en-US"/>
        </w:rPr>
        <w:t>statistically</w:t>
      </w:r>
      <w:r w:rsidRPr="00D23B8F">
        <w:rPr>
          <w:rFonts w:eastAsiaTheme="minorHAnsi" w:cstheme="minorHAnsi"/>
          <w:i/>
          <w:iCs/>
          <w:sz w:val="24"/>
          <w:szCs w:val="24"/>
          <w:lang w:eastAsia="en-US"/>
        </w:rPr>
        <w:t xml:space="preserve"> literate person is able to participate in ongoing public and private </w:t>
      </w:r>
      <w:r w:rsidR="004323CA" w:rsidRPr="00D23B8F">
        <w:rPr>
          <w:rFonts w:eastAsiaTheme="minorHAnsi" w:cstheme="minorHAnsi"/>
          <w:i/>
          <w:iCs/>
          <w:sz w:val="24"/>
          <w:szCs w:val="24"/>
          <w:lang w:eastAsia="en-US"/>
        </w:rPr>
        <w:t>debates</w:t>
      </w:r>
      <w:r w:rsidRPr="00D23B8F">
        <w:rPr>
          <w:rFonts w:eastAsiaTheme="minorHAnsi" w:cstheme="minorHAnsi"/>
          <w:i/>
          <w:iCs/>
          <w:sz w:val="24"/>
          <w:szCs w:val="24"/>
          <w:lang w:eastAsia="en-US"/>
        </w:rPr>
        <w:t xml:space="preserve"> about </w:t>
      </w:r>
      <w:r w:rsidR="004323CA" w:rsidRPr="00D23B8F">
        <w:rPr>
          <w:rFonts w:eastAsiaTheme="minorHAnsi" w:cstheme="minorHAnsi"/>
          <w:i/>
          <w:iCs/>
          <w:sz w:val="24"/>
          <w:szCs w:val="24"/>
          <w:lang w:eastAsia="en-US"/>
        </w:rPr>
        <w:t>statistics</w:t>
      </w:r>
      <w:r w:rsidRPr="00D23B8F">
        <w:rPr>
          <w:rFonts w:eastAsiaTheme="minorHAnsi" w:cstheme="minorHAnsi"/>
          <w:i/>
          <w:iCs/>
          <w:sz w:val="24"/>
          <w:szCs w:val="24"/>
          <w:lang w:eastAsia="en-US"/>
        </w:rPr>
        <w:t xml:space="preserve">, scientific knowledge, and cultural beliefs. This </w:t>
      </w:r>
      <w:r w:rsidR="004323CA" w:rsidRPr="00D23B8F">
        <w:rPr>
          <w:rFonts w:eastAsiaTheme="minorHAnsi" w:cstheme="minorHAnsi"/>
          <w:i/>
          <w:iCs/>
          <w:sz w:val="24"/>
          <w:szCs w:val="24"/>
          <w:lang w:eastAsia="en-US"/>
        </w:rPr>
        <w:t>debate</w:t>
      </w:r>
      <w:r w:rsidRPr="00D23B8F">
        <w:rPr>
          <w:rFonts w:eastAsiaTheme="minorHAnsi" w:cstheme="minorHAnsi"/>
          <w:i/>
          <w:iCs/>
          <w:sz w:val="24"/>
          <w:szCs w:val="24"/>
          <w:lang w:eastAsia="en-US"/>
        </w:rPr>
        <w:t xml:space="preserve">, in turn, advances </w:t>
      </w:r>
      <w:r w:rsidR="00681EF4" w:rsidRPr="00D23B8F">
        <w:rPr>
          <w:rFonts w:eastAsiaTheme="minorHAnsi" w:cstheme="minorHAnsi"/>
          <w:i/>
          <w:iCs/>
          <w:sz w:val="24"/>
          <w:szCs w:val="24"/>
          <w:lang w:eastAsia="en-US"/>
        </w:rPr>
        <w:t>statistical literacy</w:t>
      </w:r>
      <w:r w:rsidRPr="00D23B8F">
        <w:rPr>
          <w:rFonts w:eastAsiaTheme="minorHAnsi" w:cstheme="minorHAnsi"/>
          <w:i/>
          <w:iCs/>
          <w:sz w:val="24"/>
          <w:szCs w:val="24"/>
          <w:lang w:eastAsia="en-US"/>
        </w:rPr>
        <w:t>, individually and collectively.</w:t>
      </w:r>
    </w:p>
    <w:p w14:paraId="62A70847" w14:textId="404DBF70" w:rsidR="004323CA" w:rsidRPr="00D23B8F" w:rsidRDefault="004323CA" w:rsidP="008B1F03">
      <w:pPr>
        <w:widowControl w:val="0"/>
        <w:autoSpaceDE w:val="0"/>
        <w:autoSpaceDN w:val="0"/>
        <w:adjustRightInd w:val="0"/>
        <w:spacing w:after="240" w:line="480" w:lineRule="auto"/>
        <w:rPr>
          <w:rFonts w:eastAsiaTheme="minorHAnsi" w:cstheme="minorHAnsi"/>
          <w:sz w:val="24"/>
          <w:szCs w:val="24"/>
          <w:lang w:eastAsia="en-US"/>
        </w:rPr>
      </w:pPr>
      <w:r w:rsidRPr="00D23B8F">
        <w:rPr>
          <w:rFonts w:eastAsiaTheme="minorHAnsi" w:cstheme="minorHAnsi"/>
          <w:i/>
          <w:iCs/>
          <w:sz w:val="24"/>
          <w:szCs w:val="24"/>
          <w:lang w:eastAsia="en-US"/>
        </w:rPr>
        <w:tab/>
      </w:r>
      <w:r w:rsidRPr="00D23B8F">
        <w:rPr>
          <w:rFonts w:eastAsiaTheme="minorHAnsi" w:cstheme="minorHAnsi"/>
          <w:i/>
          <w:iCs/>
          <w:sz w:val="24"/>
          <w:szCs w:val="24"/>
          <w:lang w:eastAsia="en-US"/>
        </w:rPr>
        <w:tab/>
      </w:r>
      <w:r w:rsidRPr="00D23B8F">
        <w:rPr>
          <w:rFonts w:eastAsiaTheme="minorHAnsi" w:cstheme="minorHAnsi"/>
          <w:iCs/>
          <w:sz w:val="24"/>
          <w:szCs w:val="24"/>
          <w:lang w:eastAsia="en-US"/>
        </w:rPr>
        <w:t xml:space="preserve">(Adapted from </w:t>
      </w:r>
      <w:r w:rsidR="0014664E" w:rsidRPr="00D23B8F">
        <w:rPr>
          <w:rFonts w:eastAsiaTheme="minorHAnsi" w:cstheme="minorHAnsi"/>
          <w:sz w:val="24"/>
          <w:szCs w:val="24"/>
          <w:lang w:eastAsia="en-US"/>
        </w:rPr>
        <w:t>Zarca</w:t>
      </w:r>
      <w:r w:rsidR="0068459B" w:rsidRPr="00D23B8F">
        <w:rPr>
          <w:rFonts w:eastAsiaTheme="minorHAnsi" w:cstheme="minorHAnsi"/>
          <w:sz w:val="24"/>
          <w:szCs w:val="24"/>
          <w:lang w:eastAsia="en-US"/>
        </w:rPr>
        <w:t xml:space="preserve">doolas </w:t>
      </w:r>
      <w:r w:rsidR="005A5FB3" w:rsidRPr="00D23B8F">
        <w:rPr>
          <w:rFonts w:eastAsiaTheme="minorHAnsi" w:cstheme="minorHAnsi"/>
          <w:sz w:val="24"/>
          <w:szCs w:val="24"/>
          <w:lang w:eastAsia="en-US"/>
        </w:rPr>
        <w:t xml:space="preserve">et al. </w:t>
      </w:r>
      <w:r w:rsidRPr="00D23B8F">
        <w:rPr>
          <w:rFonts w:eastAsiaTheme="minorHAnsi" w:cstheme="minorHAnsi"/>
          <w:sz w:val="24"/>
          <w:szCs w:val="24"/>
          <w:lang w:eastAsia="en-US"/>
        </w:rPr>
        <w:t>2003</w:t>
      </w:r>
      <w:r w:rsidR="008E13F8">
        <w:rPr>
          <w:rFonts w:eastAsiaTheme="minorHAnsi" w:cstheme="minorHAnsi"/>
          <w:sz w:val="24"/>
          <w:szCs w:val="24"/>
          <w:lang w:eastAsia="en-US"/>
        </w:rPr>
        <w:t>: 119-120</w:t>
      </w:r>
      <w:r w:rsidRPr="00D23B8F">
        <w:rPr>
          <w:rFonts w:eastAsiaTheme="minorHAnsi" w:cstheme="minorHAnsi"/>
          <w:sz w:val="24"/>
          <w:szCs w:val="24"/>
          <w:lang w:eastAsia="en-US"/>
        </w:rPr>
        <w:t>)</w:t>
      </w:r>
    </w:p>
    <w:p w14:paraId="3CF57631" w14:textId="77777777" w:rsidR="004323CA" w:rsidRPr="00D23B8F" w:rsidRDefault="00F10E63" w:rsidP="008B1F03">
      <w:pPr>
        <w:widowControl w:val="0"/>
        <w:autoSpaceDE w:val="0"/>
        <w:autoSpaceDN w:val="0"/>
        <w:adjustRightInd w:val="0"/>
        <w:spacing w:after="240" w:line="480" w:lineRule="auto"/>
        <w:rPr>
          <w:rFonts w:eastAsiaTheme="minorHAnsi" w:cstheme="minorHAnsi"/>
          <w:sz w:val="24"/>
          <w:szCs w:val="24"/>
          <w:lang w:eastAsia="en-US"/>
        </w:rPr>
      </w:pPr>
      <w:r w:rsidRPr="00D23B8F">
        <w:rPr>
          <w:rFonts w:eastAsiaTheme="minorHAnsi" w:cstheme="minorHAnsi"/>
          <w:sz w:val="24"/>
          <w:szCs w:val="24"/>
          <w:lang w:eastAsia="en-US"/>
        </w:rPr>
        <w:lastRenderedPageBreak/>
        <w:t>The</w:t>
      </w:r>
      <w:r w:rsidR="004323CA" w:rsidRPr="00D23B8F">
        <w:rPr>
          <w:rFonts w:eastAsiaTheme="minorHAnsi" w:cstheme="minorHAnsi"/>
          <w:sz w:val="24"/>
          <w:szCs w:val="24"/>
          <w:lang w:eastAsia="en-US"/>
        </w:rPr>
        <w:t xml:space="preserve"> important consequences of </w:t>
      </w:r>
      <w:r w:rsidR="00AA2EB6" w:rsidRPr="00D23B8F">
        <w:rPr>
          <w:rFonts w:eastAsiaTheme="minorHAnsi" w:cstheme="minorHAnsi"/>
          <w:sz w:val="24"/>
          <w:szCs w:val="24"/>
          <w:lang w:eastAsia="en-US"/>
        </w:rPr>
        <w:t>enhanced</w:t>
      </w:r>
      <w:r w:rsidR="001277CA" w:rsidRPr="00D23B8F">
        <w:rPr>
          <w:rFonts w:eastAsiaTheme="minorHAnsi" w:cstheme="minorHAnsi"/>
          <w:sz w:val="24"/>
          <w:szCs w:val="24"/>
          <w:lang w:eastAsia="en-US"/>
        </w:rPr>
        <w:t xml:space="preserve"> statistical </w:t>
      </w:r>
      <w:r w:rsidR="004323CA" w:rsidRPr="00D23B8F">
        <w:rPr>
          <w:rFonts w:eastAsiaTheme="minorHAnsi" w:cstheme="minorHAnsi"/>
          <w:sz w:val="24"/>
          <w:szCs w:val="24"/>
          <w:lang w:eastAsia="en-US"/>
        </w:rPr>
        <w:t>literacy</w:t>
      </w:r>
      <w:r w:rsidR="001277CA" w:rsidRPr="00D23B8F">
        <w:rPr>
          <w:rFonts w:eastAsiaTheme="minorHAnsi" w:cstheme="minorHAnsi"/>
          <w:sz w:val="24"/>
          <w:szCs w:val="24"/>
          <w:lang w:eastAsia="en-US"/>
        </w:rPr>
        <w:t xml:space="preserve"> </w:t>
      </w:r>
      <w:r w:rsidRPr="00D23B8F">
        <w:rPr>
          <w:rFonts w:eastAsiaTheme="minorHAnsi" w:cstheme="minorHAnsi"/>
          <w:sz w:val="24"/>
          <w:szCs w:val="24"/>
          <w:lang w:eastAsia="en-US"/>
        </w:rPr>
        <w:t>are</w:t>
      </w:r>
      <w:r w:rsidR="004323CA" w:rsidRPr="00D23B8F">
        <w:rPr>
          <w:rFonts w:eastAsiaTheme="minorHAnsi" w:cstheme="minorHAnsi"/>
          <w:sz w:val="24"/>
          <w:szCs w:val="24"/>
          <w:lang w:eastAsia="en-US"/>
        </w:rPr>
        <w:t>:</w:t>
      </w:r>
    </w:p>
    <w:p w14:paraId="2FC40CF2" w14:textId="77777777" w:rsidR="003B34CF" w:rsidRPr="00D23B8F" w:rsidRDefault="0057304B" w:rsidP="008B1F03">
      <w:pPr>
        <w:pStyle w:val="ListParagraph"/>
        <w:widowControl w:val="0"/>
        <w:numPr>
          <w:ilvl w:val="0"/>
          <w:numId w:val="3"/>
        </w:numPr>
        <w:autoSpaceDE w:val="0"/>
        <w:autoSpaceDN w:val="0"/>
        <w:adjustRightInd w:val="0"/>
        <w:spacing w:after="240" w:line="480" w:lineRule="auto"/>
        <w:ind w:left="714" w:hanging="357"/>
        <w:rPr>
          <w:rFonts w:eastAsiaTheme="minorHAnsi" w:cstheme="minorHAnsi"/>
          <w:sz w:val="24"/>
          <w:szCs w:val="24"/>
          <w:lang w:eastAsia="en-US"/>
        </w:rPr>
      </w:pPr>
      <w:r w:rsidRPr="00D23B8F">
        <w:rPr>
          <w:rFonts w:eastAsiaTheme="minorHAnsi" w:cstheme="minorHAnsi"/>
          <w:sz w:val="24"/>
          <w:szCs w:val="24"/>
          <w:lang w:eastAsia="en-US"/>
        </w:rPr>
        <w:t>e</w:t>
      </w:r>
      <w:r w:rsidR="003B34CF" w:rsidRPr="00D23B8F">
        <w:rPr>
          <w:rFonts w:eastAsiaTheme="minorHAnsi" w:cstheme="minorHAnsi"/>
          <w:sz w:val="24"/>
          <w:szCs w:val="24"/>
          <w:lang w:eastAsia="en-US"/>
        </w:rPr>
        <w:t xml:space="preserve">mpowerment, </w:t>
      </w:r>
      <w:r w:rsidR="00996E01" w:rsidRPr="00D23B8F">
        <w:rPr>
          <w:rFonts w:eastAsiaTheme="minorHAnsi" w:cstheme="minorHAnsi"/>
          <w:sz w:val="24"/>
          <w:szCs w:val="24"/>
          <w:lang w:eastAsia="en-US"/>
        </w:rPr>
        <w:t xml:space="preserve">providing opportunity for voice, </w:t>
      </w:r>
      <w:r w:rsidR="004323CA" w:rsidRPr="00D23B8F">
        <w:rPr>
          <w:rFonts w:eastAsiaTheme="minorHAnsi" w:cstheme="minorHAnsi"/>
          <w:sz w:val="24"/>
          <w:szCs w:val="24"/>
          <w:lang w:eastAsia="en-US"/>
        </w:rPr>
        <w:t xml:space="preserve">agency and </w:t>
      </w:r>
      <w:r w:rsidR="00996E01" w:rsidRPr="00D23B8F">
        <w:rPr>
          <w:rFonts w:eastAsiaTheme="minorHAnsi" w:cstheme="minorHAnsi"/>
          <w:sz w:val="24"/>
          <w:szCs w:val="24"/>
          <w:lang w:eastAsia="en-US"/>
        </w:rPr>
        <w:t>self-determination</w:t>
      </w:r>
      <w:r w:rsidR="004323CA" w:rsidRPr="00D23B8F">
        <w:rPr>
          <w:rFonts w:eastAsiaTheme="minorHAnsi" w:cstheme="minorHAnsi"/>
          <w:sz w:val="24"/>
          <w:szCs w:val="24"/>
          <w:lang w:eastAsia="en-US"/>
        </w:rPr>
        <w:t xml:space="preserve"> </w:t>
      </w:r>
      <w:r w:rsidR="003B34CF" w:rsidRPr="00D23B8F">
        <w:rPr>
          <w:rFonts w:eastAsiaTheme="minorHAnsi" w:cstheme="minorHAnsi"/>
          <w:sz w:val="24"/>
          <w:szCs w:val="24"/>
          <w:lang w:eastAsia="en-US"/>
        </w:rPr>
        <w:t xml:space="preserve">(De Walt </w:t>
      </w:r>
      <w:r w:rsidR="00BB0F15" w:rsidRPr="00D23B8F">
        <w:rPr>
          <w:rFonts w:eastAsiaTheme="minorHAnsi" w:cstheme="minorHAnsi"/>
          <w:sz w:val="24"/>
          <w:szCs w:val="24"/>
          <w:lang w:eastAsia="en-US"/>
        </w:rPr>
        <w:t>et al</w:t>
      </w:r>
      <w:r w:rsidR="00AC5928" w:rsidRPr="00D23B8F">
        <w:rPr>
          <w:rFonts w:eastAsiaTheme="minorHAnsi" w:cstheme="minorHAnsi"/>
          <w:sz w:val="24"/>
          <w:szCs w:val="24"/>
          <w:lang w:eastAsia="en-US"/>
        </w:rPr>
        <w:t>.</w:t>
      </w:r>
      <w:r w:rsidR="00BB0F15" w:rsidRPr="00D23B8F">
        <w:rPr>
          <w:rFonts w:eastAsiaTheme="minorHAnsi" w:cstheme="minorHAnsi"/>
          <w:sz w:val="24"/>
          <w:szCs w:val="24"/>
          <w:lang w:eastAsia="en-US"/>
        </w:rPr>
        <w:t xml:space="preserve"> </w:t>
      </w:r>
      <w:r w:rsidR="003B34CF" w:rsidRPr="00D23B8F">
        <w:rPr>
          <w:rFonts w:eastAsiaTheme="minorHAnsi" w:cstheme="minorHAnsi"/>
          <w:sz w:val="24"/>
          <w:szCs w:val="24"/>
          <w:lang w:eastAsia="en-US"/>
        </w:rPr>
        <w:t>2010)</w:t>
      </w:r>
    </w:p>
    <w:p w14:paraId="0F315CE9" w14:textId="77777777" w:rsidR="003B34CF" w:rsidRPr="00D23B8F" w:rsidRDefault="0057304B" w:rsidP="008B1F03">
      <w:pPr>
        <w:pStyle w:val="ListParagraph"/>
        <w:numPr>
          <w:ilvl w:val="0"/>
          <w:numId w:val="3"/>
        </w:numPr>
        <w:spacing w:line="480" w:lineRule="auto"/>
        <w:ind w:left="714" w:hanging="357"/>
        <w:rPr>
          <w:rFonts w:cstheme="minorHAnsi"/>
          <w:sz w:val="24"/>
          <w:szCs w:val="24"/>
        </w:rPr>
      </w:pPr>
      <w:r w:rsidRPr="00D23B8F">
        <w:rPr>
          <w:rFonts w:cstheme="minorHAnsi"/>
          <w:sz w:val="24"/>
          <w:szCs w:val="24"/>
        </w:rPr>
        <w:t>i</w:t>
      </w:r>
      <w:r w:rsidR="003B34CF" w:rsidRPr="00D23B8F">
        <w:rPr>
          <w:rFonts w:cstheme="minorHAnsi"/>
          <w:sz w:val="24"/>
          <w:szCs w:val="24"/>
        </w:rPr>
        <w:t>mproved data</w:t>
      </w:r>
      <w:r w:rsidR="00851D39" w:rsidRPr="00D23B8F">
        <w:rPr>
          <w:rFonts w:cstheme="minorHAnsi"/>
          <w:sz w:val="24"/>
          <w:szCs w:val="24"/>
        </w:rPr>
        <w:t>-</w:t>
      </w:r>
      <w:r w:rsidR="003B34CF" w:rsidRPr="00D23B8F">
        <w:rPr>
          <w:rFonts w:cstheme="minorHAnsi"/>
          <w:sz w:val="24"/>
          <w:szCs w:val="24"/>
        </w:rPr>
        <w:t>informed decision making</w:t>
      </w:r>
    </w:p>
    <w:p w14:paraId="73C60493" w14:textId="77777777" w:rsidR="003B34CF" w:rsidRPr="00D23B8F" w:rsidRDefault="0057304B" w:rsidP="008B1F03">
      <w:pPr>
        <w:pStyle w:val="ListParagraph"/>
        <w:numPr>
          <w:ilvl w:val="0"/>
          <w:numId w:val="3"/>
        </w:numPr>
        <w:spacing w:line="480" w:lineRule="auto"/>
        <w:ind w:left="714" w:hanging="357"/>
        <w:rPr>
          <w:rFonts w:cstheme="minorHAnsi"/>
          <w:sz w:val="24"/>
          <w:szCs w:val="24"/>
        </w:rPr>
      </w:pPr>
      <w:r w:rsidRPr="00D23B8F">
        <w:rPr>
          <w:rFonts w:cstheme="minorHAnsi"/>
          <w:sz w:val="24"/>
          <w:szCs w:val="24"/>
        </w:rPr>
        <w:t>e</w:t>
      </w:r>
      <w:r w:rsidR="004323CA" w:rsidRPr="00D23B8F">
        <w:rPr>
          <w:rFonts w:cstheme="minorHAnsi"/>
          <w:sz w:val="24"/>
          <w:szCs w:val="24"/>
        </w:rPr>
        <w:t xml:space="preserve">nhanced capacity </w:t>
      </w:r>
      <w:r w:rsidR="00884211" w:rsidRPr="00D23B8F">
        <w:rPr>
          <w:rFonts w:cstheme="minorHAnsi"/>
          <w:sz w:val="24"/>
          <w:szCs w:val="24"/>
        </w:rPr>
        <w:t xml:space="preserve">for </w:t>
      </w:r>
      <w:r w:rsidR="004323CA" w:rsidRPr="00D23B8F">
        <w:rPr>
          <w:rFonts w:cstheme="minorHAnsi"/>
          <w:sz w:val="24"/>
          <w:szCs w:val="24"/>
        </w:rPr>
        <w:t>c</w:t>
      </w:r>
      <w:r w:rsidR="003B34CF" w:rsidRPr="00D23B8F">
        <w:rPr>
          <w:rFonts w:cstheme="minorHAnsi"/>
          <w:sz w:val="24"/>
          <w:szCs w:val="24"/>
        </w:rPr>
        <w:t>ross</w:t>
      </w:r>
      <w:r w:rsidR="00851D39" w:rsidRPr="00D23B8F">
        <w:rPr>
          <w:rFonts w:cstheme="minorHAnsi"/>
          <w:sz w:val="24"/>
          <w:szCs w:val="24"/>
        </w:rPr>
        <w:t>-</w:t>
      </w:r>
      <w:r w:rsidR="003B34CF" w:rsidRPr="00D23B8F">
        <w:rPr>
          <w:rFonts w:cstheme="minorHAnsi"/>
          <w:sz w:val="24"/>
          <w:szCs w:val="24"/>
        </w:rPr>
        <w:t xml:space="preserve">jurisdictional </w:t>
      </w:r>
      <w:r w:rsidR="008D14C9" w:rsidRPr="00D23B8F">
        <w:rPr>
          <w:rFonts w:cstheme="minorHAnsi"/>
          <w:sz w:val="24"/>
          <w:szCs w:val="24"/>
        </w:rPr>
        <w:t>understanding</w:t>
      </w:r>
    </w:p>
    <w:p w14:paraId="0EAA6282" w14:textId="77777777" w:rsidR="00AC0720" w:rsidRDefault="0057304B" w:rsidP="008B1F03">
      <w:pPr>
        <w:pStyle w:val="ListParagraph"/>
        <w:numPr>
          <w:ilvl w:val="0"/>
          <w:numId w:val="3"/>
        </w:numPr>
        <w:spacing w:line="480" w:lineRule="auto"/>
        <w:ind w:left="714" w:hanging="357"/>
        <w:rPr>
          <w:rFonts w:cstheme="minorHAnsi"/>
          <w:sz w:val="24"/>
          <w:szCs w:val="24"/>
        </w:rPr>
      </w:pPr>
      <w:r w:rsidRPr="00D23B8F">
        <w:rPr>
          <w:rFonts w:cstheme="minorHAnsi"/>
          <w:sz w:val="24"/>
          <w:szCs w:val="24"/>
        </w:rPr>
        <w:lastRenderedPageBreak/>
        <w:t>e</w:t>
      </w:r>
      <w:r w:rsidR="004323CA" w:rsidRPr="00D23B8F">
        <w:rPr>
          <w:rFonts w:cstheme="minorHAnsi"/>
          <w:sz w:val="24"/>
          <w:szCs w:val="24"/>
        </w:rPr>
        <w:t>nhanced</w:t>
      </w:r>
      <w:r w:rsidR="00AC0720" w:rsidRPr="00D23B8F">
        <w:rPr>
          <w:rFonts w:cstheme="minorHAnsi"/>
          <w:sz w:val="24"/>
          <w:szCs w:val="24"/>
        </w:rPr>
        <w:t xml:space="preserve"> capacity to recognise, avoid and refute naïve, sci</w:t>
      </w:r>
      <w:r w:rsidR="0088742E" w:rsidRPr="00D23B8F">
        <w:rPr>
          <w:rFonts w:cstheme="minorHAnsi"/>
          <w:sz w:val="24"/>
          <w:szCs w:val="24"/>
        </w:rPr>
        <w:t>entific and deceptive fallacies</w:t>
      </w:r>
      <w:r w:rsidR="00201926" w:rsidRPr="00D23B8F">
        <w:rPr>
          <w:rFonts w:cstheme="minorHAnsi"/>
          <w:sz w:val="24"/>
          <w:szCs w:val="24"/>
        </w:rPr>
        <w:t>.</w:t>
      </w:r>
      <w:r w:rsidR="00E97943" w:rsidRPr="00D23B8F">
        <w:rPr>
          <w:rFonts w:cstheme="minorHAnsi"/>
          <w:sz w:val="24"/>
          <w:szCs w:val="24"/>
        </w:rPr>
        <w:t xml:space="preserve"> </w:t>
      </w:r>
    </w:p>
    <w:p w14:paraId="3991C64E" w14:textId="61E0073C" w:rsidR="00FE68FB" w:rsidRPr="00B22403" w:rsidRDefault="00FE68FB" w:rsidP="00B22403">
      <w:pPr>
        <w:spacing w:line="480" w:lineRule="auto"/>
        <w:rPr>
          <w:rFonts w:cstheme="minorHAnsi"/>
          <w:sz w:val="24"/>
          <w:szCs w:val="24"/>
        </w:rPr>
      </w:pPr>
      <w:r w:rsidRPr="00B22403">
        <w:rPr>
          <w:rFonts w:cstheme="minorHAnsi"/>
          <w:sz w:val="24"/>
          <w:szCs w:val="24"/>
        </w:rPr>
        <w:t xml:space="preserve">While many </w:t>
      </w:r>
      <w:r w:rsidR="00AB53EE" w:rsidRPr="00B22403">
        <w:rPr>
          <w:rFonts w:cstheme="minorHAnsi"/>
          <w:sz w:val="24"/>
          <w:szCs w:val="24"/>
        </w:rPr>
        <w:t>authors</w:t>
      </w:r>
      <w:r w:rsidRPr="00B22403">
        <w:rPr>
          <w:rFonts w:cstheme="minorHAnsi"/>
          <w:sz w:val="24"/>
          <w:szCs w:val="24"/>
        </w:rPr>
        <w:t xml:space="preserve"> (</w:t>
      </w:r>
      <w:r w:rsidR="00AB53EE" w:rsidRPr="00B22403">
        <w:rPr>
          <w:rFonts w:cstheme="minorHAnsi"/>
          <w:sz w:val="24"/>
          <w:szCs w:val="24"/>
        </w:rPr>
        <w:t xml:space="preserve">cf. </w:t>
      </w:r>
      <w:r w:rsidRPr="00B22403">
        <w:rPr>
          <w:rFonts w:cstheme="minorHAnsi"/>
          <w:sz w:val="24"/>
          <w:szCs w:val="24"/>
        </w:rPr>
        <w:t xml:space="preserve">Gal </w:t>
      </w:r>
      <w:r w:rsidR="00AB53EE" w:rsidRPr="00B22403">
        <w:rPr>
          <w:rFonts w:cstheme="minorHAnsi"/>
          <w:sz w:val="24"/>
          <w:szCs w:val="24"/>
        </w:rPr>
        <w:t xml:space="preserve">2002; Gundlach, Maybee and O’Shea 2015; North, Gal &amp; Zewotir 2014) have researched the idea of statistical literacy the link between critical statistical literacy and critical health literacy pays useful homage </w:t>
      </w:r>
      <w:r w:rsidR="00AB53EE" w:rsidRPr="00B22403">
        <w:rPr>
          <w:rFonts w:cstheme="minorHAnsi"/>
          <w:sz w:val="24"/>
          <w:szCs w:val="24"/>
        </w:rPr>
        <w:lastRenderedPageBreak/>
        <w:t xml:space="preserve">to the insights offered by the experiences within the health sector regarding data quality issues.  </w:t>
      </w:r>
    </w:p>
    <w:p w14:paraId="28717734" w14:textId="77777777" w:rsidR="00876582" w:rsidRPr="00D23B8F" w:rsidRDefault="00876582" w:rsidP="008B1F03">
      <w:pPr>
        <w:pStyle w:val="Heading2"/>
        <w:spacing w:line="480" w:lineRule="auto"/>
        <w:ind w:left="0"/>
        <w:rPr>
          <w:rFonts w:asciiTheme="minorHAnsi" w:hAnsiTheme="minorHAnsi" w:cstheme="minorHAnsi"/>
        </w:rPr>
      </w:pPr>
      <w:bookmarkStart w:id="3" w:name="_Toc418495800"/>
      <w:r w:rsidRPr="00D23B8F">
        <w:rPr>
          <w:rFonts w:asciiTheme="minorHAnsi" w:hAnsiTheme="minorHAnsi" w:cstheme="minorHAnsi"/>
        </w:rPr>
        <w:t>Assertoric knowledge</w:t>
      </w:r>
      <w:bookmarkEnd w:id="3"/>
    </w:p>
    <w:p w14:paraId="23F6C9B4" w14:textId="77777777" w:rsidR="00876582" w:rsidRPr="00D23B8F" w:rsidRDefault="00876582" w:rsidP="008B1F03">
      <w:pPr>
        <w:spacing w:after="0" w:line="480" w:lineRule="auto"/>
        <w:rPr>
          <w:rFonts w:cstheme="minorHAnsi"/>
          <w:sz w:val="24"/>
          <w:szCs w:val="24"/>
        </w:rPr>
      </w:pPr>
      <w:r w:rsidRPr="00D23B8F">
        <w:rPr>
          <w:rFonts w:cstheme="minorHAnsi"/>
          <w:sz w:val="24"/>
          <w:szCs w:val="24"/>
        </w:rPr>
        <w:t xml:space="preserve">As noted above, gathering statistics and the uses for which they are deployed is a discursive act that serves social, political, cultural and historical functions.  We interrogate the discursive practices within the field of Indigenous higher </w:t>
      </w:r>
      <w:r w:rsidRPr="00D23B8F">
        <w:rPr>
          <w:rFonts w:cstheme="minorHAnsi"/>
          <w:sz w:val="24"/>
          <w:szCs w:val="24"/>
        </w:rPr>
        <w:lastRenderedPageBreak/>
        <w:t xml:space="preserve">education statistics and, in doing so, we do not seek ultimate truth </w:t>
      </w:r>
      <w:r w:rsidRPr="00D23B8F">
        <w:rPr>
          <w:rFonts w:cstheme="minorHAnsi"/>
          <w:i/>
          <w:iCs/>
          <w:sz w:val="24"/>
          <w:szCs w:val="24"/>
        </w:rPr>
        <w:t>per se,</w:t>
      </w:r>
      <w:r w:rsidRPr="00D23B8F">
        <w:rPr>
          <w:rFonts w:cstheme="minorHAnsi"/>
          <w:sz w:val="24"/>
          <w:szCs w:val="24"/>
        </w:rPr>
        <w:t xml:space="preserve"> but rather to create items of assertoric knowledge </w:t>
      </w:r>
      <w:r w:rsidRPr="00D23B8F">
        <w:rPr>
          <w:rFonts w:cstheme="minorHAnsi"/>
          <w:noProof/>
          <w:sz w:val="24"/>
          <w:szCs w:val="24"/>
        </w:rPr>
        <w:t>(Polkinghorne 1983)</w:t>
      </w:r>
      <w:r w:rsidRPr="00D23B8F">
        <w:rPr>
          <w:rFonts w:cstheme="minorHAnsi"/>
          <w:sz w:val="24"/>
          <w:szCs w:val="24"/>
        </w:rPr>
        <w:t xml:space="preserve">. </w:t>
      </w:r>
    </w:p>
    <w:p w14:paraId="4DA4C0A0" w14:textId="77777777" w:rsidR="00876582" w:rsidRPr="00D23B8F" w:rsidRDefault="00876582" w:rsidP="008B1F03">
      <w:pPr>
        <w:spacing w:after="0" w:line="480" w:lineRule="auto"/>
        <w:ind w:left="360"/>
        <w:rPr>
          <w:rFonts w:cstheme="minorHAnsi"/>
          <w:sz w:val="24"/>
          <w:szCs w:val="24"/>
        </w:rPr>
      </w:pPr>
    </w:p>
    <w:p w14:paraId="447EA9D8" w14:textId="77777777" w:rsidR="00876582" w:rsidRPr="00D23B8F" w:rsidRDefault="00876582" w:rsidP="008B1F03">
      <w:pPr>
        <w:spacing w:after="0" w:line="480" w:lineRule="auto"/>
        <w:rPr>
          <w:rFonts w:cstheme="minorHAnsi"/>
          <w:sz w:val="24"/>
          <w:szCs w:val="24"/>
        </w:rPr>
      </w:pPr>
      <w:r w:rsidRPr="00D23B8F">
        <w:rPr>
          <w:rFonts w:cstheme="minorHAnsi"/>
          <w:sz w:val="24"/>
          <w:szCs w:val="24"/>
        </w:rPr>
        <w:t xml:space="preserve">Assertoric knowledge is </w:t>
      </w:r>
      <w:r w:rsidRPr="00D23B8F">
        <w:rPr>
          <w:rFonts w:cstheme="minorHAnsi"/>
          <w:i/>
          <w:sz w:val="24"/>
          <w:szCs w:val="24"/>
        </w:rPr>
        <w:t>asserted</w:t>
      </w:r>
      <w:r w:rsidRPr="00D23B8F">
        <w:rPr>
          <w:rFonts w:cstheme="minorHAnsi"/>
          <w:sz w:val="24"/>
          <w:szCs w:val="24"/>
        </w:rPr>
        <w:t xml:space="preserve"> to the communities of interest in ways that make it available for debate rather than foreclosing on a preferred immutable truth.  Assertoric </w:t>
      </w:r>
      <w:r w:rsidRPr="00D23B8F">
        <w:rPr>
          <w:rFonts w:cstheme="minorHAnsi"/>
          <w:sz w:val="24"/>
          <w:szCs w:val="24"/>
        </w:rPr>
        <w:lastRenderedPageBreak/>
        <w:t xml:space="preserve">knowledge guards against the development of uncritical polarities or binaries to create an authentic discourse in the middle ground.  Assertoric knowledge claims, by their nature, are more open to </w:t>
      </w:r>
      <w:r w:rsidR="000840A9">
        <w:rPr>
          <w:rFonts w:cstheme="minorHAnsi"/>
          <w:sz w:val="24"/>
          <w:szCs w:val="24"/>
        </w:rPr>
        <w:t>‘</w:t>
      </w:r>
      <w:r w:rsidRPr="00D23B8F">
        <w:rPr>
          <w:rFonts w:cstheme="minorHAnsi"/>
          <w:sz w:val="24"/>
          <w:szCs w:val="24"/>
        </w:rPr>
        <w:t>complex analysis, less certain conclusions and open to all ideas and poli</w:t>
      </w:r>
      <w:r w:rsidR="004C6574" w:rsidRPr="00D23B8F">
        <w:rPr>
          <w:rFonts w:cstheme="minorHAnsi"/>
          <w:sz w:val="24"/>
          <w:szCs w:val="24"/>
        </w:rPr>
        <w:t>tics</w:t>
      </w:r>
      <w:r w:rsidR="000840A9">
        <w:rPr>
          <w:rFonts w:cstheme="minorHAnsi"/>
          <w:sz w:val="24"/>
          <w:szCs w:val="24"/>
        </w:rPr>
        <w:t>’</w:t>
      </w:r>
      <w:r w:rsidR="004C6574" w:rsidRPr="00D23B8F">
        <w:rPr>
          <w:rFonts w:cstheme="minorHAnsi"/>
          <w:sz w:val="24"/>
          <w:szCs w:val="24"/>
        </w:rPr>
        <w:t xml:space="preserve"> (Nakata 201</w:t>
      </w:r>
      <w:r w:rsidR="000840A9">
        <w:rPr>
          <w:rFonts w:cstheme="minorHAnsi"/>
          <w:sz w:val="24"/>
          <w:szCs w:val="24"/>
        </w:rPr>
        <w:t xml:space="preserve">3: </w:t>
      </w:r>
      <w:r w:rsidR="004C6574" w:rsidRPr="00D23B8F">
        <w:rPr>
          <w:rFonts w:cstheme="minorHAnsi"/>
          <w:sz w:val="24"/>
          <w:szCs w:val="24"/>
        </w:rPr>
        <w:t xml:space="preserve">9-10). </w:t>
      </w:r>
    </w:p>
    <w:p w14:paraId="4A4696A4" w14:textId="77777777" w:rsidR="00D74857" w:rsidRPr="00D23B8F" w:rsidRDefault="00AB7227" w:rsidP="008B1F03">
      <w:pPr>
        <w:pStyle w:val="Heading1"/>
        <w:spacing w:line="480" w:lineRule="auto"/>
        <w:rPr>
          <w:rFonts w:asciiTheme="minorHAnsi" w:hAnsiTheme="minorHAnsi" w:cstheme="minorHAnsi"/>
        </w:rPr>
      </w:pPr>
      <w:r w:rsidRPr="00D23B8F">
        <w:rPr>
          <w:rFonts w:asciiTheme="minorHAnsi" w:hAnsiTheme="minorHAnsi" w:cstheme="minorHAnsi"/>
        </w:rPr>
        <w:lastRenderedPageBreak/>
        <w:t xml:space="preserve">The </w:t>
      </w:r>
      <w:r w:rsidR="000D3C5C" w:rsidRPr="00D23B8F">
        <w:rPr>
          <w:rFonts w:asciiTheme="minorHAnsi" w:hAnsiTheme="minorHAnsi" w:cstheme="minorHAnsi"/>
        </w:rPr>
        <w:t>Findings</w:t>
      </w:r>
      <w:r w:rsidR="001E5E0B" w:rsidRPr="00D23B8F">
        <w:rPr>
          <w:rFonts w:asciiTheme="minorHAnsi" w:hAnsiTheme="minorHAnsi" w:cstheme="minorHAnsi"/>
        </w:rPr>
        <w:t xml:space="preserve">: Statistical and Data Quality Issues </w:t>
      </w:r>
      <w:r w:rsidR="001277CA" w:rsidRPr="00D23B8F">
        <w:rPr>
          <w:rStyle w:val="FootnoteReference"/>
          <w:rFonts w:asciiTheme="minorHAnsi" w:hAnsiTheme="minorHAnsi" w:cstheme="minorHAnsi"/>
        </w:rPr>
        <w:footnoteReference w:id="6"/>
      </w:r>
      <w:r w:rsidR="001277CA" w:rsidRPr="00D23B8F">
        <w:rPr>
          <w:rFonts w:asciiTheme="minorHAnsi" w:hAnsiTheme="minorHAnsi" w:cstheme="minorHAnsi"/>
        </w:rPr>
        <w:t xml:space="preserve"> </w:t>
      </w:r>
    </w:p>
    <w:p w14:paraId="110DDCE2" w14:textId="77777777" w:rsidR="00072784" w:rsidRPr="00D23B8F" w:rsidRDefault="008C1037" w:rsidP="008B1F03">
      <w:pPr>
        <w:spacing w:after="0" w:line="480" w:lineRule="auto"/>
        <w:rPr>
          <w:rFonts w:cstheme="minorHAnsi"/>
          <w:sz w:val="24"/>
          <w:szCs w:val="24"/>
        </w:rPr>
      </w:pPr>
      <w:r w:rsidRPr="00D23B8F">
        <w:rPr>
          <w:rFonts w:cstheme="minorHAnsi"/>
          <w:sz w:val="24"/>
          <w:szCs w:val="24"/>
        </w:rPr>
        <w:t xml:space="preserve">The following </w:t>
      </w:r>
      <w:r w:rsidR="004C6574" w:rsidRPr="00D23B8F">
        <w:rPr>
          <w:rFonts w:cstheme="minorHAnsi"/>
          <w:sz w:val="24"/>
          <w:szCs w:val="24"/>
        </w:rPr>
        <w:t>section</w:t>
      </w:r>
      <w:r w:rsidRPr="00D23B8F">
        <w:rPr>
          <w:rFonts w:cstheme="minorHAnsi"/>
          <w:sz w:val="24"/>
          <w:szCs w:val="24"/>
        </w:rPr>
        <w:t xml:space="preserve"> </w:t>
      </w:r>
      <w:r w:rsidR="00F6231F" w:rsidRPr="00D23B8F">
        <w:rPr>
          <w:rFonts w:cstheme="minorHAnsi"/>
          <w:sz w:val="24"/>
          <w:szCs w:val="24"/>
        </w:rPr>
        <w:t>summarises</w:t>
      </w:r>
      <w:r w:rsidRPr="00D23B8F">
        <w:rPr>
          <w:rFonts w:cstheme="minorHAnsi"/>
          <w:sz w:val="24"/>
          <w:szCs w:val="24"/>
        </w:rPr>
        <w:t xml:space="preserve"> </w:t>
      </w:r>
      <w:r w:rsidR="00F6231F" w:rsidRPr="00D23B8F">
        <w:rPr>
          <w:rFonts w:cstheme="minorHAnsi"/>
          <w:sz w:val="24"/>
          <w:szCs w:val="24"/>
        </w:rPr>
        <w:t>our</w:t>
      </w:r>
      <w:r w:rsidRPr="00D23B8F">
        <w:rPr>
          <w:rFonts w:cstheme="minorHAnsi"/>
          <w:sz w:val="24"/>
          <w:szCs w:val="24"/>
        </w:rPr>
        <w:t xml:space="preserve"> main </w:t>
      </w:r>
      <w:r w:rsidR="00F6231F" w:rsidRPr="00D23B8F">
        <w:rPr>
          <w:rFonts w:cstheme="minorHAnsi"/>
          <w:sz w:val="24"/>
          <w:szCs w:val="24"/>
        </w:rPr>
        <w:t xml:space="preserve">findings in relation to </w:t>
      </w:r>
      <w:r w:rsidRPr="00D23B8F">
        <w:rPr>
          <w:rFonts w:cstheme="minorHAnsi"/>
          <w:sz w:val="24"/>
          <w:szCs w:val="24"/>
        </w:rPr>
        <w:t>statistical and data quality</w:t>
      </w:r>
      <w:r w:rsidR="00F6231F" w:rsidRPr="00D23B8F">
        <w:rPr>
          <w:rFonts w:cstheme="minorHAnsi"/>
          <w:sz w:val="24"/>
          <w:szCs w:val="24"/>
        </w:rPr>
        <w:t xml:space="preserve"> challenges</w:t>
      </w:r>
      <w:r w:rsidRPr="00D23B8F">
        <w:rPr>
          <w:rFonts w:cstheme="minorHAnsi"/>
          <w:sz w:val="24"/>
          <w:szCs w:val="24"/>
        </w:rPr>
        <w:t xml:space="preserve"> as they relate </w:t>
      </w:r>
      <w:r w:rsidRPr="00D23B8F">
        <w:rPr>
          <w:rFonts w:cstheme="minorHAnsi"/>
          <w:sz w:val="24"/>
          <w:szCs w:val="24"/>
        </w:rPr>
        <w:lastRenderedPageBreak/>
        <w:t>to Aboriginal and Torres Strait Islander</w:t>
      </w:r>
      <w:r w:rsidR="00F6231F" w:rsidRPr="00D23B8F">
        <w:rPr>
          <w:rFonts w:cstheme="minorHAnsi"/>
          <w:sz w:val="24"/>
          <w:szCs w:val="24"/>
        </w:rPr>
        <w:t xml:space="preserve"> student participation in</w:t>
      </w:r>
      <w:r w:rsidRPr="00D23B8F">
        <w:rPr>
          <w:rFonts w:cstheme="minorHAnsi"/>
          <w:sz w:val="24"/>
          <w:szCs w:val="24"/>
        </w:rPr>
        <w:t xml:space="preserve"> higher education.</w:t>
      </w:r>
      <w:r w:rsidR="00BF259C" w:rsidRPr="00D23B8F">
        <w:rPr>
          <w:rFonts w:cstheme="minorHAnsi"/>
          <w:sz w:val="24"/>
          <w:szCs w:val="24"/>
        </w:rPr>
        <w:t xml:space="preserve">  </w:t>
      </w:r>
      <w:r w:rsidR="001432F3" w:rsidRPr="00D23B8F">
        <w:rPr>
          <w:rFonts w:cstheme="minorHAnsi"/>
          <w:sz w:val="24"/>
          <w:szCs w:val="24"/>
        </w:rPr>
        <w:t>W</w:t>
      </w:r>
      <w:r w:rsidR="00DB5D48" w:rsidRPr="00D23B8F">
        <w:rPr>
          <w:rFonts w:cstheme="minorHAnsi"/>
          <w:sz w:val="24"/>
          <w:szCs w:val="24"/>
        </w:rPr>
        <w:t xml:space="preserve">e separate </w:t>
      </w:r>
      <w:r w:rsidRPr="00D23B8F">
        <w:rPr>
          <w:rFonts w:cstheme="minorHAnsi"/>
          <w:sz w:val="24"/>
          <w:szCs w:val="24"/>
        </w:rPr>
        <w:t>these</w:t>
      </w:r>
      <w:r w:rsidR="004075B3" w:rsidRPr="00D23B8F">
        <w:rPr>
          <w:rFonts w:cstheme="minorHAnsi"/>
          <w:sz w:val="24"/>
          <w:szCs w:val="24"/>
        </w:rPr>
        <w:t xml:space="preserve"> </w:t>
      </w:r>
      <w:r w:rsidR="00DB5D48" w:rsidRPr="00D23B8F">
        <w:rPr>
          <w:rFonts w:cstheme="minorHAnsi"/>
          <w:sz w:val="24"/>
          <w:szCs w:val="24"/>
        </w:rPr>
        <w:t xml:space="preserve">into three </w:t>
      </w:r>
      <w:r w:rsidR="00413245" w:rsidRPr="00D23B8F">
        <w:rPr>
          <w:rFonts w:cstheme="minorHAnsi"/>
          <w:sz w:val="24"/>
          <w:szCs w:val="24"/>
        </w:rPr>
        <w:t>categories</w:t>
      </w:r>
      <w:r w:rsidR="00DB5D48" w:rsidRPr="00D23B8F">
        <w:rPr>
          <w:rFonts w:cstheme="minorHAnsi"/>
          <w:sz w:val="24"/>
          <w:szCs w:val="24"/>
        </w:rPr>
        <w:t xml:space="preserve">: </w:t>
      </w:r>
      <w:r w:rsidR="004075B3" w:rsidRPr="00D23B8F">
        <w:rPr>
          <w:rFonts w:cstheme="minorHAnsi"/>
          <w:sz w:val="24"/>
          <w:szCs w:val="24"/>
        </w:rPr>
        <w:t xml:space="preserve">upstream (those that derive </w:t>
      </w:r>
      <w:r w:rsidR="00E2346D" w:rsidRPr="00D23B8F">
        <w:rPr>
          <w:rFonts w:cstheme="minorHAnsi"/>
          <w:sz w:val="24"/>
          <w:szCs w:val="24"/>
        </w:rPr>
        <w:t>from</w:t>
      </w:r>
      <w:r w:rsidR="004075B3" w:rsidRPr="00D23B8F">
        <w:rPr>
          <w:rFonts w:cstheme="minorHAnsi"/>
          <w:sz w:val="24"/>
          <w:szCs w:val="24"/>
        </w:rPr>
        <w:t xml:space="preserve"> social structures and social </w:t>
      </w:r>
      <w:r w:rsidR="0096705B" w:rsidRPr="00D23B8F">
        <w:rPr>
          <w:rFonts w:cstheme="minorHAnsi"/>
          <w:sz w:val="24"/>
          <w:szCs w:val="24"/>
        </w:rPr>
        <w:t>policies</w:t>
      </w:r>
      <w:r w:rsidR="004075B3" w:rsidRPr="00D23B8F">
        <w:rPr>
          <w:rFonts w:cstheme="minorHAnsi"/>
          <w:sz w:val="24"/>
          <w:szCs w:val="24"/>
        </w:rPr>
        <w:t xml:space="preserve">, norms and practices), midstream (those that </w:t>
      </w:r>
      <w:r w:rsidR="004075B3" w:rsidRPr="00D23B8F">
        <w:rPr>
          <w:rFonts w:cstheme="minorHAnsi"/>
          <w:sz w:val="24"/>
          <w:szCs w:val="24"/>
        </w:rPr>
        <w:lastRenderedPageBreak/>
        <w:t>impact or emana</w:t>
      </w:r>
      <w:r w:rsidR="00F559DD" w:rsidRPr="00D23B8F">
        <w:rPr>
          <w:rFonts w:cstheme="minorHAnsi"/>
          <w:sz w:val="24"/>
          <w:szCs w:val="24"/>
        </w:rPr>
        <w:t>te from the community</w:t>
      </w:r>
      <w:r w:rsidR="004075B3" w:rsidRPr="00D23B8F">
        <w:rPr>
          <w:rFonts w:cstheme="minorHAnsi"/>
          <w:sz w:val="24"/>
          <w:szCs w:val="24"/>
        </w:rPr>
        <w:t>) and downstream (those fa</w:t>
      </w:r>
      <w:r w:rsidR="007F2575" w:rsidRPr="00D23B8F">
        <w:rPr>
          <w:rFonts w:cstheme="minorHAnsi"/>
          <w:sz w:val="24"/>
          <w:szCs w:val="24"/>
        </w:rPr>
        <w:t xml:space="preserve">ctors that have a direct impact). </w:t>
      </w:r>
      <w:r w:rsidR="00C76744" w:rsidRPr="00D23B8F">
        <w:rPr>
          <w:rFonts w:cstheme="minorHAnsi"/>
          <w:sz w:val="24"/>
          <w:szCs w:val="24"/>
        </w:rPr>
        <w:t>These are summarised in Table 1.</w:t>
      </w:r>
    </w:p>
    <w:p w14:paraId="5BDF92A1" w14:textId="77777777" w:rsidR="00F6231F" w:rsidRPr="00D23B8F" w:rsidRDefault="00F6231F" w:rsidP="008B1F03">
      <w:pPr>
        <w:spacing w:after="0" w:line="480" w:lineRule="auto"/>
        <w:rPr>
          <w:rFonts w:cstheme="minorHAnsi"/>
          <w:sz w:val="24"/>
          <w:szCs w:val="24"/>
        </w:rPr>
      </w:pPr>
    </w:p>
    <w:p w14:paraId="2B092419" w14:textId="77777777" w:rsidR="003D5899" w:rsidRPr="00D23B8F" w:rsidRDefault="003D5899" w:rsidP="008B1F03">
      <w:pPr>
        <w:pStyle w:val="Caption"/>
        <w:keepNext/>
        <w:spacing w:line="480" w:lineRule="auto"/>
        <w:rPr>
          <w:rFonts w:cstheme="minorHAnsi"/>
          <w:szCs w:val="22"/>
        </w:rPr>
      </w:pPr>
      <w:r w:rsidRPr="00D23B8F">
        <w:rPr>
          <w:rFonts w:cstheme="minorHAnsi"/>
          <w:szCs w:val="22"/>
        </w:rPr>
        <w:lastRenderedPageBreak/>
        <w:t xml:space="preserve">Table </w:t>
      </w:r>
      <w:r w:rsidR="00DC7D88" w:rsidRPr="00D23B8F">
        <w:rPr>
          <w:rFonts w:cstheme="minorHAnsi"/>
          <w:szCs w:val="22"/>
        </w:rPr>
        <w:fldChar w:fldCharType="begin"/>
      </w:r>
      <w:r w:rsidRPr="00D23B8F">
        <w:rPr>
          <w:rFonts w:cstheme="minorHAnsi"/>
          <w:szCs w:val="22"/>
        </w:rPr>
        <w:instrText xml:space="preserve"> SEQ Table \* ARABIC </w:instrText>
      </w:r>
      <w:r w:rsidR="00DC7D88" w:rsidRPr="00D23B8F">
        <w:rPr>
          <w:rFonts w:cstheme="minorHAnsi"/>
          <w:szCs w:val="22"/>
        </w:rPr>
        <w:fldChar w:fldCharType="separate"/>
      </w:r>
      <w:r w:rsidR="00E41FD8" w:rsidRPr="00D23B8F">
        <w:rPr>
          <w:rFonts w:cstheme="minorHAnsi"/>
          <w:noProof/>
          <w:szCs w:val="22"/>
        </w:rPr>
        <w:t>1</w:t>
      </w:r>
      <w:r w:rsidR="00DC7D88" w:rsidRPr="00D23B8F">
        <w:rPr>
          <w:rFonts w:cstheme="minorHAnsi"/>
          <w:szCs w:val="22"/>
        </w:rPr>
        <w:fldChar w:fldCharType="end"/>
      </w:r>
      <w:r w:rsidRPr="00D23B8F">
        <w:rPr>
          <w:rFonts w:cstheme="minorHAnsi"/>
          <w:szCs w:val="22"/>
        </w:rPr>
        <w:t xml:space="preserve">: </w:t>
      </w:r>
      <w:r w:rsidR="007706D5">
        <w:rPr>
          <w:rFonts w:cstheme="minorHAnsi"/>
          <w:szCs w:val="22"/>
        </w:rPr>
        <w:t xml:space="preserve">Summary of </w:t>
      </w:r>
      <w:r w:rsidRPr="00D23B8F">
        <w:rPr>
          <w:rFonts w:cstheme="minorHAnsi"/>
          <w:szCs w:val="22"/>
        </w:rPr>
        <w:t>Data Quality Issues</w:t>
      </w:r>
      <w:r w:rsidR="004C6574" w:rsidRPr="00D06834">
        <w:rPr>
          <w:rStyle w:val="FootnoteReference"/>
          <w:rFonts w:asciiTheme="minorHAnsi" w:hAnsiTheme="minorHAnsi" w:cstheme="minorHAnsi"/>
          <w:szCs w:val="22"/>
        </w:rPr>
        <w:footnoteReference w:id="7"/>
      </w:r>
      <w:r w:rsidR="0032322D">
        <w:rPr>
          <w:rFonts w:cstheme="minorHAnsi"/>
          <w:szCs w:val="22"/>
        </w:rPr>
        <w:t xml:space="preserve"> </w:t>
      </w:r>
    </w:p>
    <w:tbl>
      <w:tblPr>
        <w:tblStyle w:val="TableGrid"/>
        <w:tblW w:w="0" w:type="auto"/>
        <w:tblLook w:val="04A0" w:firstRow="1" w:lastRow="0" w:firstColumn="1" w:lastColumn="0" w:noHBand="0" w:noVBand="1"/>
      </w:tblPr>
      <w:tblGrid>
        <w:gridCol w:w="1807"/>
        <w:gridCol w:w="2406"/>
        <w:gridCol w:w="4803"/>
      </w:tblGrid>
      <w:tr w:rsidR="003D5899" w:rsidRPr="00D06834" w14:paraId="3D3AF617" w14:textId="77777777" w:rsidTr="00D760D2">
        <w:tc>
          <w:tcPr>
            <w:tcW w:w="1807" w:type="dxa"/>
            <w:vMerge w:val="restart"/>
          </w:tcPr>
          <w:p w14:paraId="18BAA55B" w14:textId="77777777" w:rsidR="003D5899" w:rsidRPr="00D23B8F" w:rsidRDefault="003D5899" w:rsidP="008B1F03">
            <w:pPr>
              <w:spacing w:before="60" w:after="60" w:line="480" w:lineRule="auto"/>
              <w:rPr>
                <w:rFonts w:cstheme="minorHAnsi"/>
                <w:sz w:val="24"/>
                <w:szCs w:val="24"/>
              </w:rPr>
            </w:pPr>
            <w:r w:rsidRPr="00D23B8F">
              <w:rPr>
                <w:rFonts w:cstheme="minorHAnsi"/>
                <w:sz w:val="24"/>
                <w:szCs w:val="24"/>
              </w:rPr>
              <w:t>Upstream</w:t>
            </w:r>
          </w:p>
        </w:tc>
        <w:tc>
          <w:tcPr>
            <w:tcW w:w="2406" w:type="dxa"/>
          </w:tcPr>
          <w:p w14:paraId="4B665878" w14:textId="77777777" w:rsidR="003D5899" w:rsidRPr="00D23B8F" w:rsidRDefault="003D5899" w:rsidP="008B1F03">
            <w:pPr>
              <w:spacing w:before="60" w:after="60" w:line="480" w:lineRule="auto"/>
              <w:rPr>
                <w:rFonts w:cstheme="minorHAnsi"/>
              </w:rPr>
            </w:pPr>
            <w:r w:rsidRPr="00D23B8F">
              <w:rPr>
                <w:rFonts w:cstheme="minorHAnsi"/>
                <w:b/>
              </w:rPr>
              <w:t>Data needs / scope</w:t>
            </w:r>
          </w:p>
        </w:tc>
        <w:tc>
          <w:tcPr>
            <w:tcW w:w="4803" w:type="dxa"/>
          </w:tcPr>
          <w:p w14:paraId="305CC737" w14:textId="77777777" w:rsidR="003D5899" w:rsidRPr="00D23B8F" w:rsidRDefault="003D5899" w:rsidP="008B1F03">
            <w:pPr>
              <w:spacing w:before="60" w:after="60" w:line="480" w:lineRule="auto"/>
              <w:rPr>
                <w:rFonts w:cstheme="minorHAnsi"/>
              </w:rPr>
            </w:pPr>
            <w:r w:rsidRPr="00D23B8F">
              <w:rPr>
                <w:rFonts w:cstheme="minorHAnsi"/>
              </w:rPr>
              <w:t>What do we need to know?</w:t>
            </w:r>
          </w:p>
          <w:p w14:paraId="725357BA" w14:textId="77777777" w:rsidR="003D5899" w:rsidRPr="00D23B8F" w:rsidRDefault="003D5899" w:rsidP="008B1F03">
            <w:pPr>
              <w:spacing w:before="60" w:after="60" w:line="480" w:lineRule="auto"/>
              <w:rPr>
                <w:rFonts w:cstheme="minorHAnsi"/>
              </w:rPr>
            </w:pPr>
            <w:r w:rsidRPr="00D23B8F">
              <w:rPr>
                <w:rFonts w:cstheme="minorHAnsi"/>
              </w:rPr>
              <w:t>Why do we need to know it?</w:t>
            </w:r>
          </w:p>
          <w:p w14:paraId="0259771B" w14:textId="77777777" w:rsidR="003D5899" w:rsidRPr="00D23B8F" w:rsidRDefault="003D5899" w:rsidP="008B1F03">
            <w:pPr>
              <w:spacing w:before="60" w:after="60" w:line="480" w:lineRule="auto"/>
              <w:rPr>
                <w:rFonts w:cstheme="minorHAnsi"/>
              </w:rPr>
            </w:pPr>
            <w:r w:rsidRPr="00D23B8F">
              <w:rPr>
                <w:rFonts w:cstheme="minorHAnsi"/>
              </w:rPr>
              <w:t xml:space="preserve">This relates to the issue of strengths-based versus deficit-based thinking.  </w:t>
            </w:r>
          </w:p>
        </w:tc>
      </w:tr>
      <w:tr w:rsidR="003D5899" w:rsidRPr="00D06834" w14:paraId="5303F52E" w14:textId="77777777" w:rsidTr="00D760D2">
        <w:tc>
          <w:tcPr>
            <w:tcW w:w="1807" w:type="dxa"/>
            <w:vMerge/>
          </w:tcPr>
          <w:p w14:paraId="19FF9B70" w14:textId="77777777" w:rsidR="003D5899" w:rsidRPr="00D23B8F" w:rsidRDefault="003D5899" w:rsidP="008B1F03">
            <w:pPr>
              <w:spacing w:before="60" w:after="60" w:line="480" w:lineRule="auto"/>
              <w:rPr>
                <w:rFonts w:cstheme="minorHAnsi"/>
                <w:sz w:val="24"/>
                <w:szCs w:val="24"/>
              </w:rPr>
            </w:pPr>
          </w:p>
        </w:tc>
        <w:tc>
          <w:tcPr>
            <w:tcW w:w="2406" w:type="dxa"/>
          </w:tcPr>
          <w:p w14:paraId="7DFAE250" w14:textId="77777777" w:rsidR="003D5899" w:rsidRPr="00D23B8F" w:rsidRDefault="003D5899" w:rsidP="008B1F03">
            <w:pPr>
              <w:spacing w:before="60" w:after="60" w:line="480" w:lineRule="auto"/>
              <w:rPr>
                <w:rFonts w:cstheme="minorHAnsi"/>
              </w:rPr>
            </w:pPr>
            <w:r w:rsidRPr="00D23B8F">
              <w:rPr>
                <w:rFonts w:cstheme="minorHAnsi"/>
                <w:b/>
              </w:rPr>
              <w:t>Data misuse and abuse</w:t>
            </w:r>
          </w:p>
        </w:tc>
        <w:tc>
          <w:tcPr>
            <w:tcW w:w="4803" w:type="dxa"/>
          </w:tcPr>
          <w:p w14:paraId="1CC913F8" w14:textId="77777777" w:rsidR="003D5899" w:rsidRPr="00D23B8F" w:rsidRDefault="003D5899" w:rsidP="008B1F03">
            <w:pPr>
              <w:spacing w:before="60" w:after="60" w:line="480" w:lineRule="auto"/>
              <w:rPr>
                <w:rFonts w:cstheme="minorHAnsi"/>
              </w:rPr>
            </w:pPr>
            <w:r w:rsidRPr="00D23B8F">
              <w:rPr>
                <w:rFonts w:cstheme="minorHAnsi"/>
              </w:rPr>
              <w:t>The political, social, cultural, racial motivations, including the impact of:</w:t>
            </w:r>
          </w:p>
          <w:p w14:paraId="690FE323" w14:textId="77777777" w:rsidR="003D5899" w:rsidRPr="00D23B8F" w:rsidRDefault="003D5899" w:rsidP="008B1F03">
            <w:pPr>
              <w:pStyle w:val="Bulletlist"/>
              <w:spacing w:before="60" w:after="60" w:line="480" w:lineRule="auto"/>
              <w:rPr>
                <w:rFonts w:cstheme="minorHAnsi"/>
              </w:rPr>
            </w:pPr>
            <w:r w:rsidRPr="00D23B8F">
              <w:rPr>
                <w:rFonts w:cstheme="minorHAnsi"/>
              </w:rPr>
              <w:t xml:space="preserve">cultural issues </w:t>
            </w:r>
          </w:p>
          <w:p w14:paraId="2189B1F3" w14:textId="77777777" w:rsidR="003D5899" w:rsidRPr="00D23B8F" w:rsidRDefault="003D5899" w:rsidP="008B1F03">
            <w:pPr>
              <w:pStyle w:val="Bulletlist"/>
              <w:spacing w:before="60" w:after="60" w:line="480" w:lineRule="auto"/>
              <w:rPr>
                <w:rFonts w:cstheme="minorHAnsi"/>
              </w:rPr>
            </w:pPr>
            <w:r w:rsidRPr="00D23B8F">
              <w:rPr>
                <w:rFonts w:cstheme="minorHAnsi"/>
              </w:rPr>
              <w:t>colonisation</w:t>
            </w:r>
          </w:p>
          <w:p w14:paraId="3A7C70E6" w14:textId="42AD4A2C" w:rsidR="003D5899" w:rsidRPr="00D23B8F" w:rsidRDefault="003D5899" w:rsidP="008B1F03">
            <w:pPr>
              <w:pStyle w:val="Bulletlist"/>
              <w:spacing w:before="60" w:after="60" w:line="480" w:lineRule="auto"/>
              <w:rPr>
                <w:rFonts w:cstheme="minorHAnsi"/>
                <w:i/>
              </w:rPr>
            </w:pPr>
            <w:r w:rsidRPr="00D23B8F">
              <w:rPr>
                <w:rFonts w:cstheme="minorHAnsi"/>
              </w:rPr>
              <w:t>ghettoising / exoticising</w:t>
            </w:r>
          </w:p>
        </w:tc>
      </w:tr>
      <w:tr w:rsidR="003D5899" w:rsidRPr="00D06834" w14:paraId="27A0D1C3" w14:textId="77777777" w:rsidTr="00D760D2">
        <w:tc>
          <w:tcPr>
            <w:tcW w:w="1807" w:type="dxa"/>
            <w:vMerge/>
          </w:tcPr>
          <w:p w14:paraId="59E1C671" w14:textId="77777777" w:rsidR="003D5899" w:rsidRPr="00D23B8F" w:rsidRDefault="003D5899" w:rsidP="008B1F03">
            <w:pPr>
              <w:spacing w:before="60" w:after="60" w:line="480" w:lineRule="auto"/>
              <w:rPr>
                <w:rFonts w:cstheme="minorHAnsi"/>
                <w:sz w:val="24"/>
                <w:szCs w:val="24"/>
              </w:rPr>
            </w:pPr>
          </w:p>
        </w:tc>
        <w:tc>
          <w:tcPr>
            <w:tcW w:w="2406" w:type="dxa"/>
          </w:tcPr>
          <w:p w14:paraId="4586C9FF" w14:textId="77777777" w:rsidR="003D5899" w:rsidRPr="00D23B8F" w:rsidRDefault="003D5899" w:rsidP="008B1F03">
            <w:pPr>
              <w:spacing w:before="60" w:after="60" w:line="480" w:lineRule="auto"/>
              <w:rPr>
                <w:rFonts w:cstheme="minorHAnsi"/>
                <w:b/>
              </w:rPr>
            </w:pPr>
            <w:r w:rsidRPr="00D23B8F">
              <w:rPr>
                <w:rFonts w:cstheme="minorHAnsi"/>
                <w:b/>
              </w:rPr>
              <w:t>Data consistency</w:t>
            </w:r>
            <w:r w:rsidRPr="00D23B8F">
              <w:rPr>
                <w:rFonts w:cstheme="minorHAnsi"/>
              </w:rPr>
              <w:t xml:space="preserve"> </w:t>
            </w:r>
          </w:p>
          <w:p w14:paraId="5F001985" w14:textId="77777777" w:rsidR="003D5899" w:rsidRPr="00D23B8F" w:rsidRDefault="003D5899" w:rsidP="008B1F03">
            <w:pPr>
              <w:spacing w:before="60" w:after="60" w:line="480" w:lineRule="auto"/>
              <w:rPr>
                <w:rFonts w:cstheme="minorHAnsi"/>
              </w:rPr>
            </w:pPr>
          </w:p>
        </w:tc>
        <w:tc>
          <w:tcPr>
            <w:tcW w:w="4803" w:type="dxa"/>
          </w:tcPr>
          <w:p w14:paraId="21DFF403" w14:textId="77777777" w:rsidR="003D5899" w:rsidRPr="00D23B8F" w:rsidRDefault="003D5899" w:rsidP="008B1F03">
            <w:pPr>
              <w:spacing w:before="60" w:after="60" w:line="480" w:lineRule="auto"/>
              <w:rPr>
                <w:rFonts w:cstheme="minorHAnsi"/>
              </w:rPr>
            </w:pPr>
            <w:r w:rsidRPr="00D23B8F">
              <w:rPr>
                <w:rFonts w:cstheme="minorHAnsi"/>
              </w:rPr>
              <w:t>Jurisdictional differences among states, Incomparability between private and public sector representatives (such as schools and Universities).</w:t>
            </w:r>
          </w:p>
        </w:tc>
      </w:tr>
      <w:tr w:rsidR="003D5899" w:rsidRPr="00D06834" w14:paraId="2039AF3C" w14:textId="77777777" w:rsidTr="00D760D2">
        <w:tc>
          <w:tcPr>
            <w:tcW w:w="1807" w:type="dxa"/>
            <w:vMerge w:val="restart"/>
          </w:tcPr>
          <w:p w14:paraId="5F9BE1EE" w14:textId="77777777" w:rsidR="003D5899" w:rsidRPr="00D23B8F" w:rsidRDefault="003D5899" w:rsidP="008B1F03">
            <w:pPr>
              <w:spacing w:before="60" w:after="60" w:line="480" w:lineRule="auto"/>
              <w:rPr>
                <w:rFonts w:cstheme="minorHAnsi"/>
                <w:sz w:val="24"/>
                <w:szCs w:val="24"/>
              </w:rPr>
            </w:pPr>
            <w:r w:rsidRPr="00D23B8F">
              <w:rPr>
                <w:rFonts w:cstheme="minorHAnsi"/>
                <w:sz w:val="24"/>
                <w:szCs w:val="24"/>
              </w:rPr>
              <w:t>Midstream</w:t>
            </w:r>
          </w:p>
        </w:tc>
        <w:tc>
          <w:tcPr>
            <w:tcW w:w="2406" w:type="dxa"/>
          </w:tcPr>
          <w:p w14:paraId="7A375B39" w14:textId="77777777" w:rsidR="003D5899" w:rsidRPr="00D23B8F" w:rsidRDefault="003D5899" w:rsidP="008B1F03">
            <w:pPr>
              <w:spacing w:before="60" w:after="60" w:line="480" w:lineRule="auto"/>
              <w:rPr>
                <w:rFonts w:cstheme="minorHAnsi"/>
              </w:rPr>
            </w:pPr>
            <w:r w:rsidRPr="00D23B8F">
              <w:rPr>
                <w:rFonts w:cstheme="minorHAnsi"/>
                <w:b/>
              </w:rPr>
              <w:t>Data completeness</w:t>
            </w:r>
          </w:p>
        </w:tc>
        <w:tc>
          <w:tcPr>
            <w:tcW w:w="4803" w:type="dxa"/>
          </w:tcPr>
          <w:p w14:paraId="38B38BE6" w14:textId="77777777" w:rsidR="003D5899" w:rsidRPr="00D23B8F" w:rsidRDefault="003D5899" w:rsidP="008B1F03">
            <w:pPr>
              <w:spacing w:before="60" w:after="60" w:line="480" w:lineRule="auto"/>
              <w:rPr>
                <w:rFonts w:cstheme="minorHAnsi"/>
              </w:rPr>
            </w:pPr>
            <w:r w:rsidRPr="00D23B8F">
              <w:rPr>
                <w:rFonts w:cstheme="minorHAnsi"/>
              </w:rPr>
              <w:t>Lack of Indigenous data from some sources</w:t>
            </w:r>
          </w:p>
          <w:p w14:paraId="5B0AC980" w14:textId="77777777" w:rsidR="003D5899" w:rsidRPr="00D23B8F" w:rsidRDefault="003D5899" w:rsidP="008B1F03">
            <w:pPr>
              <w:spacing w:before="60" w:after="60" w:line="480" w:lineRule="auto"/>
              <w:rPr>
                <w:rFonts w:cstheme="minorHAnsi"/>
              </w:rPr>
            </w:pPr>
            <w:r w:rsidRPr="00D23B8F">
              <w:rPr>
                <w:rFonts w:cstheme="minorHAnsi"/>
              </w:rPr>
              <w:t>Missing or inconsistent data from some providers</w:t>
            </w:r>
          </w:p>
          <w:p w14:paraId="47E11043" w14:textId="77777777" w:rsidR="003D5899" w:rsidRPr="00D23B8F" w:rsidRDefault="003D5899" w:rsidP="008B1F03">
            <w:pPr>
              <w:spacing w:before="60" w:after="60" w:line="480" w:lineRule="auto"/>
              <w:rPr>
                <w:rFonts w:cstheme="minorHAnsi"/>
              </w:rPr>
            </w:pPr>
            <w:r w:rsidRPr="00D23B8F">
              <w:rPr>
                <w:rFonts w:cstheme="minorHAnsi"/>
              </w:rPr>
              <w:lastRenderedPageBreak/>
              <w:t>Underrepresentation linked to self-identification practices</w:t>
            </w:r>
          </w:p>
        </w:tc>
      </w:tr>
      <w:tr w:rsidR="003D5899" w:rsidRPr="00D06834" w14:paraId="5E3763E6" w14:textId="77777777" w:rsidTr="00D760D2">
        <w:tc>
          <w:tcPr>
            <w:tcW w:w="1807" w:type="dxa"/>
            <w:vMerge/>
          </w:tcPr>
          <w:p w14:paraId="600462EB" w14:textId="77777777" w:rsidR="003D5899" w:rsidRPr="00D23B8F" w:rsidRDefault="003D5899" w:rsidP="008B1F03">
            <w:pPr>
              <w:spacing w:before="60" w:after="60" w:line="480" w:lineRule="auto"/>
              <w:rPr>
                <w:rFonts w:cstheme="minorHAnsi"/>
                <w:sz w:val="24"/>
                <w:szCs w:val="24"/>
              </w:rPr>
            </w:pPr>
          </w:p>
        </w:tc>
        <w:tc>
          <w:tcPr>
            <w:tcW w:w="2406" w:type="dxa"/>
          </w:tcPr>
          <w:p w14:paraId="2353AE36" w14:textId="77777777" w:rsidR="003D5899" w:rsidRPr="00D23B8F" w:rsidRDefault="003D5899" w:rsidP="008B1F03">
            <w:pPr>
              <w:spacing w:before="60" w:after="60" w:line="480" w:lineRule="auto"/>
              <w:rPr>
                <w:rFonts w:cstheme="minorHAnsi"/>
              </w:rPr>
            </w:pPr>
            <w:r w:rsidRPr="00D23B8F">
              <w:rPr>
                <w:rFonts w:cstheme="minorHAnsi"/>
                <w:b/>
              </w:rPr>
              <w:t xml:space="preserve">Data collection methods  </w:t>
            </w:r>
          </w:p>
        </w:tc>
        <w:tc>
          <w:tcPr>
            <w:tcW w:w="4803" w:type="dxa"/>
          </w:tcPr>
          <w:p w14:paraId="5C4F031D" w14:textId="77777777" w:rsidR="003D5899" w:rsidRPr="00D23B8F" w:rsidRDefault="003D5899" w:rsidP="008B1F03">
            <w:pPr>
              <w:spacing w:before="60" w:after="60" w:line="480" w:lineRule="auto"/>
              <w:rPr>
                <w:rFonts w:cstheme="minorHAnsi"/>
              </w:rPr>
            </w:pPr>
            <w:r w:rsidRPr="00D23B8F">
              <w:rPr>
                <w:rFonts w:cstheme="minorHAnsi"/>
              </w:rPr>
              <w:t xml:space="preserve">Culturally inappropriate data collection methods.   </w:t>
            </w:r>
          </w:p>
        </w:tc>
      </w:tr>
      <w:tr w:rsidR="003D5899" w:rsidRPr="00D06834" w14:paraId="5066A6B2" w14:textId="77777777" w:rsidTr="00D760D2">
        <w:tc>
          <w:tcPr>
            <w:tcW w:w="1807" w:type="dxa"/>
            <w:vMerge/>
          </w:tcPr>
          <w:p w14:paraId="0E004BC5" w14:textId="77777777" w:rsidR="003D5899" w:rsidRPr="00D23B8F" w:rsidRDefault="003D5899" w:rsidP="008B1F03">
            <w:pPr>
              <w:spacing w:before="60" w:after="60" w:line="480" w:lineRule="auto"/>
              <w:rPr>
                <w:rFonts w:cstheme="minorHAnsi"/>
                <w:sz w:val="24"/>
                <w:szCs w:val="24"/>
              </w:rPr>
            </w:pPr>
          </w:p>
        </w:tc>
        <w:tc>
          <w:tcPr>
            <w:tcW w:w="2406" w:type="dxa"/>
          </w:tcPr>
          <w:p w14:paraId="3C67768B" w14:textId="77777777" w:rsidR="003D5899" w:rsidRPr="00D23B8F" w:rsidRDefault="003D5899" w:rsidP="008B1F03">
            <w:pPr>
              <w:spacing w:before="60" w:after="60" w:line="480" w:lineRule="auto"/>
              <w:rPr>
                <w:rFonts w:cstheme="minorHAnsi"/>
                <w:b/>
              </w:rPr>
            </w:pPr>
            <w:r w:rsidRPr="00D23B8F">
              <w:rPr>
                <w:rFonts w:cstheme="minorHAnsi"/>
                <w:b/>
              </w:rPr>
              <w:t>Data definitions</w:t>
            </w:r>
          </w:p>
        </w:tc>
        <w:tc>
          <w:tcPr>
            <w:tcW w:w="4803" w:type="dxa"/>
          </w:tcPr>
          <w:p w14:paraId="683B9241" w14:textId="77777777" w:rsidR="003D5899" w:rsidRPr="00D23B8F" w:rsidRDefault="003D5899" w:rsidP="008B1F03">
            <w:pPr>
              <w:spacing w:before="60" w:after="60" w:line="480" w:lineRule="auto"/>
              <w:rPr>
                <w:rFonts w:cstheme="minorHAnsi"/>
              </w:rPr>
            </w:pPr>
            <w:r w:rsidRPr="00D23B8F">
              <w:rPr>
                <w:rFonts w:cstheme="minorHAnsi"/>
              </w:rPr>
              <w:t>Misunderstanding, or inappropriate definitions and nomenclature.</w:t>
            </w:r>
          </w:p>
        </w:tc>
      </w:tr>
      <w:tr w:rsidR="003D5899" w:rsidRPr="00D06834" w14:paraId="278EAE3C" w14:textId="77777777" w:rsidTr="00D760D2">
        <w:tc>
          <w:tcPr>
            <w:tcW w:w="1807" w:type="dxa"/>
            <w:vMerge/>
          </w:tcPr>
          <w:p w14:paraId="0D15E7C3" w14:textId="77777777" w:rsidR="003D5899" w:rsidRPr="00D23B8F" w:rsidRDefault="003D5899" w:rsidP="008B1F03">
            <w:pPr>
              <w:spacing w:before="60" w:after="60" w:line="480" w:lineRule="auto"/>
              <w:rPr>
                <w:rFonts w:cstheme="minorHAnsi"/>
                <w:sz w:val="24"/>
                <w:szCs w:val="24"/>
              </w:rPr>
            </w:pPr>
          </w:p>
        </w:tc>
        <w:tc>
          <w:tcPr>
            <w:tcW w:w="2406" w:type="dxa"/>
          </w:tcPr>
          <w:p w14:paraId="1C68E94D" w14:textId="77777777" w:rsidR="003D5899" w:rsidRPr="00D23B8F" w:rsidRDefault="003D5899" w:rsidP="008B1F03">
            <w:pPr>
              <w:spacing w:before="60" w:after="60" w:line="480" w:lineRule="auto"/>
              <w:rPr>
                <w:rFonts w:cstheme="minorHAnsi"/>
                <w:b/>
              </w:rPr>
            </w:pPr>
            <w:r w:rsidRPr="00D23B8F">
              <w:rPr>
                <w:rFonts w:cstheme="minorHAnsi"/>
                <w:b/>
              </w:rPr>
              <w:t>Data appropriateness</w:t>
            </w:r>
          </w:p>
        </w:tc>
        <w:tc>
          <w:tcPr>
            <w:tcW w:w="4803" w:type="dxa"/>
          </w:tcPr>
          <w:p w14:paraId="7FCAF10E" w14:textId="77777777" w:rsidR="003D5899" w:rsidRPr="00D23B8F" w:rsidRDefault="003D5899" w:rsidP="008B1F03">
            <w:pPr>
              <w:spacing w:before="60" w:after="60" w:line="480" w:lineRule="auto"/>
              <w:rPr>
                <w:rFonts w:cstheme="minorHAnsi"/>
              </w:rPr>
            </w:pPr>
            <w:r w:rsidRPr="00D23B8F">
              <w:rPr>
                <w:rFonts w:cstheme="minorHAnsi"/>
              </w:rPr>
              <w:t xml:space="preserve">The appropriateness and sensitivity of data to cultural / community concerns.   </w:t>
            </w:r>
          </w:p>
        </w:tc>
      </w:tr>
      <w:tr w:rsidR="003D5899" w:rsidRPr="00D06834" w14:paraId="70D7546D" w14:textId="77777777" w:rsidTr="00D760D2">
        <w:tc>
          <w:tcPr>
            <w:tcW w:w="1807" w:type="dxa"/>
            <w:vMerge/>
          </w:tcPr>
          <w:p w14:paraId="27BEE8EC" w14:textId="77777777" w:rsidR="003D5899" w:rsidRPr="00D23B8F" w:rsidRDefault="003D5899" w:rsidP="008B1F03">
            <w:pPr>
              <w:spacing w:before="60" w:after="60" w:line="480" w:lineRule="auto"/>
              <w:rPr>
                <w:rFonts w:cstheme="minorHAnsi"/>
                <w:sz w:val="24"/>
                <w:szCs w:val="24"/>
              </w:rPr>
            </w:pPr>
          </w:p>
        </w:tc>
        <w:tc>
          <w:tcPr>
            <w:tcW w:w="2406" w:type="dxa"/>
          </w:tcPr>
          <w:p w14:paraId="61FA7741" w14:textId="77777777" w:rsidR="003D5899" w:rsidRPr="00D23B8F" w:rsidRDefault="003D5899" w:rsidP="008B1F03">
            <w:pPr>
              <w:spacing w:before="60" w:after="60" w:line="480" w:lineRule="auto"/>
              <w:rPr>
                <w:rFonts w:cstheme="minorHAnsi"/>
                <w:b/>
              </w:rPr>
            </w:pPr>
            <w:r w:rsidRPr="00D23B8F">
              <w:rPr>
                <w:rFonts w:cstheme="minorHAnsi"/>
                <w:b/>
              </w:rPr>
              <w:t>Data levels of analysis</w:t>
            </w:r>
          </w:p>
        </w:tc>
        <w:tc>
          <w:tcPr>
            <w:tcW w:w="4803" w:type="dxa"/>
          </w:tcPr>
          <w:p w14:paraId="60BDEA6D" w14:textId="77777777" w:rsidR="003D5899" w:rsidRPr="00D23B8F" w:rsidRDefault="003D5899" w:rsidP="008B1F03">
            <w:pPr>
              <w:spacing w:before="60" w:after="60" w:line="480" w:lineRule="auto"/>
              <w:rPr>
                <w:rFonts w:cstheme="minorHAnsi"/>
              </w:rPr>
            </w:pPr>
            <w:r w:rsidRPr="00D23B8F">
              <w:rPr>
                <w:rFonts w:cstheme="minorHAnsi"/>
              </w:rPr>
              <w:t xml:space="preserve">What is an appropriate level of measurement: individual vs group vs sector  </w:t>
            </w:r>
          </w:p>
        </w:tc>
      </w:tr>
      <w:tr w:rsidR="003D5899" w:rsidRPr="00D06834" w14:paraId="05AD3BB0" w14:textId="77777777" w:rsidTr="00D760D2">
        <w:tc>
          <w:tcPr>
            <w:tcW w:w="1807" w:type="dxa"/>
            <w:vMerge w:val="restart"/>
          </w:tcPr>
          <w:p w14:paraId="0FCECAF8" w14:textId="77777777" w:rsidR="003D5899" w:rsidRPr="00D23B8F" w:rsidRDefault="003D5899" w:rsidP="008B1F03">
            <w:pPr>
              <w:spacing w:before="60" w:after="60" w:line="480" w:lineRule="auto"/>
              <w:rPr>
                <w:rFonts w:cstheme="minorHAnsi"/>
                <w:sz w:val="24"/>
                <w:szCs w:val="24"/>
              </w:rPr>
            </w:pPr>
            <w:r w:rsidRPr="00D23B8F">
              <w:rPr>
                <w:rFonts w:cstheme="minorHAnsi"/>
                <w:sz w:val="24"/>
                <w:szCs w:val="24"/>
              </w:rPr>
              <w:lastRenderedPageBreak/>
              <w:t>Downstream</w:t>
            </w:r>
          </w:p>
        </w:tc>
        <w:tc>
          <w:tcPr>
            <w:tcW w:w="2406" w:type="dxa"/>
          </w:tcPr>
          <w:p w14:paraId="0B4D38D4" w14:textId="77777777" w:rsidR="003D5899" w:rsidRPr="00D23B8F" w:rsidRDefault="003D5899" w:rsidP="008B1F03">
            <w:pPr>
              <w:spacing w:before="60" w:after="60" w:line="480" w:lineRule="auto"/>
              <w:rPr>
                <w:rFonts w:cstheme="minorHAnsi"/>
                <w:b/>
              </w:rPr>
            </w:pPr>
            <w:r w:rsidRPr="00D23B8F">
              <w:rPr>
                <w:rFonts w:cstheme="minorHAnsi"/>
                <w:b/>
              </w:rPr>
              <w:t>Data availability</w:t>
            </w:r>
          </w:p>
        </w:tc>
        <w:tc>
          <w:tcPr>
            <w:tcW w:w="4803" w:type="dxa"/>
          </w:tcPr>
          <w:p w14:paraId="2C89E15A" w14:textId="77777777" w:rsidR="003D5899" w:rsidRPr="00D23B8F" w:rsidRDefault="003D5899" w:rsidP="008B1F03">
            <w:pPr>
              <w:spacing w:before="60" w:after="60" w:line="480" w:lineRule="auto"/>
              <w:rPr>
                <w:rFonts w:cstheme="minorHAnsi"/>
              </w:rPr>
            </w:pPr>
            <w:r w:rsidRPr="00D23B8F">
              <w:rPr>
                <w:rFonts w:cstheme="minorHAnsi"/>
              </w:rPr>
              <w:t>Online access.</w:t>
            </w:r>
          </w:p>
          <w:p w14:paraId="40970659" w14:textId="77777777" w:rsidR="003D5899" w:rsidRPr="00D23B8F" w:rsidRDefault="003D5899" w:rsidP="008B1F03">
            <w:pPr>
              <w:spacing w:before="60" w:after="60" w:line="480" w:lineRule="auto"/>
              <w:rPr>
                <w:rFonts w:cstheme="minorHAnsi"/>
              </w:rPr>
            </w:pPr>
            <w:r w:rsidRPr="00D23B8F">
              <w:rPr>
                <w:rFonts w:cstheme="minorHAnsi"/>
              </w:rPr>
              <w:t>Timeliness of reporting.</w:t>
            </w:r>
          </w:p>
          <w:p w14:paraId="7CDB5733" w14:textId="77777777" w:rsidR="003D5899" w:rsidRPr="00D23B8F" w:rsidRDefault="003D5899" w:rsidP="008B1F03">
            <w:pPr>
              <w:spacing w:before="60" w:after="60" w:line="480" w:lineRule="auto"/>
              <w:rPr>
                <w:rFonts w:cstheme="minorHAnsi"/>
              </w:rPr>
            </w:pPr>
            <w:r w:rsidRPr="00D23B8F">
              <w:rPr>
                <w:rFonts w:cstheme="minorHAnsi"/>
              </w:rPr>
              <w:t xml:space="preserve">Data for underrepresented groups are scarce and not easily accessible. </w:t>
            </w:r>
          </w:p>
        </w:tc>
      </w:tr>
      <w:tr w:rsidR="003D5899" w:rsidRPr="00D06834" w14:paraId="71A875A4" w14:textId="77777777" w:rsidTr="00D760D2">
        <w:tc>
          <w:tcPr>
            <w:tcW w:w="1807" w:type="dxa"/>
            <w:vMerge/>
          </w:tcPr>
          <w:p w14:paraId="61D781AA" w14:textId="77777777" w:rsidR="003D5899" w:rsidRPr="00D23B8F" w:rsidRDefault="003D5899" w:rsidP="008B1F03">
            <w:pPr>
              <w:spacing w:before="60" w:after="60" w:line="480" w:lineRule="auto"/>
              <w:rPr>
                <w:rFonts w:cstheme="minorHAnsi"/>
                <w:sz w:val="24"/>
                <w:szCs w:val="24"/>
              </w:rPr>
            </w:pPr>
          </w:p>
        </w:tc>
        <w:tc>
          <w:tcPr>
            <w:tcW w:w="2406" w:type="dxa"/>
          </w:tcPr>
          <w:p w14:paraId="23962F7A" w14:textId="77777777" w:rsidR="003D5899" w:rsidRPr="00D23B8F" w:rsidRDefault="003D5899" w:rsidP="008B1F03">
            <w:pPr>
              <w:spacing w:before="60" w:after="60" w:line="480" w:lineRule="auto"/>
              <w:rPr>
                <w:rFonts w:cstheme="minorHAnsi"/>
                <w:b/>
              </w:rPr>
            </w:pPr>
            <w:r w:rsidRPr="00D23B8F">
              <w:rPr>
                <w:rFonts w:cstheme="minorHAnsi"/>
                <w:b/>
              </w:rPr>
              <w:t>Data type</w:t>
            </w:r>
          </w:p>
        </w:tc>
        <w:tc>
          <w:tcPr>
            <w:tcW w:w="4803" w:type="dxa"/>
          </w:tcPr>
          <w:p w14:paraId="53A81131" w14:textId="77777777" w:rsidR="003D5899" w:rsidRPr="00D23B8F" w:rsidRDefault="003D5899" w:rsidP="008B1F03">
            <w:pPr>
              <w:spacing w:before="60" w:after="60" w:line="480" w:lineRule="auto"/>
              <w:rPr>
                <w:rFonts w:cstheme="minorHAnsi"/>
              </w:rPr>
            </w:pPr>
            <w:r w:rsidRPr="00D23B8F">
              <w:rPr>
                <w:rFonts w:cstheme="minorHAnsi"/>
              </w:rPr>
              <w:t>Quantitative vs qualitative</w:t>
            </w:r>
          </w:p>
        </w:tc>
      </w:tr>
      <w:tr w:rsidR="003D5899" w:rsidRPr="00D06834" w14:paraId="04272F29" w14:textId="77777777" w:rsidTr="00D760D2">
        <w:tc>
          <w:tcPr>
            <w:tcW w:w="1807" w:type="dxa"/>
            <w:vMerge/>
          </w:tcPr>
          <w:p w14:paraId="66B6038B" w14:textId="77777777" w:rsidR="003D5899" w:rsidRPr="00D23B8F" w:rsidRDefault="003D5899" w:rsidP="008B1F03">
            <w:pPr>
              <w:spacing w:before="60" w:after="60" w:line="480" w:lineRule="auto"/>
              <w:rPr>
                <w:rFonts w:cstheme="minorHAnsi"/>
                <w:sz w:val="24"/>
                <w:szCs w:val="24"/>
              </w:rPr>
            </w:pPr>
          </w:p>
        </w:tc>
        <w:tc>
          <w:tcPr>
            <w:tcW w:w="2406" w:type="dxa"/>
          </w:tcPr>
          <w:p w14:paraId="6FB2EC25" w14:textId="77777777" w:rsidR="003D5899" w:rsidRPr="00D23B8F" w:rsidRDefault="003D5899" w:rsidP="008B1F03">
            <w:pPr>
              <w:spacing w:before="60" w:after="60" w:line="480" w:lineRule="auto"/>
              <w:rPr>
                <w:rFonts w:cstheme="minorHAnsi"/>
              </w:rPr>
            </w:pPr>
            <w:r w:rsidRPr="00D23B8F">
              <w:rPr>
                <w:rFonts w:cstheme="minorHAnsi"/>
                <w:b/>
              </w:rPr>
              <w:t>Data standards</w:t>
            </w:r>
          </w:p>
        </w:tc>
        <w:tc>
          <w:tcPr>
            <w:tcW w:w="4803" w:type="dxa"/>
          </w:tcPr>
          <w:p w14:paraId="3E1A42EC" w14:textId="77777777" w:rsidR="003D5899" w:rsidRPr="00D23B8F" w:rsidRDefault="003D5899" w:rsidP="008B1F03">
            <w:pPr>
              <w:spacing w:before="60" w:after="60" w:line="480" w:lineRule="auto"/>
              <w:rPr>
                <w:rFonts w:cstheme="minorHAnsi"/>
              </w:rPr>
            </w:pPr>
            <w:r w:rsidRPr="00D23B8F">
              <w:rPr>
                <w:rFonts w:cstheme="minorHAnsi"/>
              </w:rPr>
              <w:t>Quality of indicators:</w:t>
            </w:r>
          </w:p>
          <w:p w14:paraId="10863EC4" w14:textId="77777777" w:rsidR="003D5899" w:rsidRPr="00D23B8F" w:rsidRDefault="003D5899" w:rsidP="008B1F03">
            <w:pPr>
              <w:pStyle w:val="Bulletlist"/>
              <w:spacing w:before="60" w:after="60" w:line="480" w:lineRule="auto"/>
              <w:rPr>
                <w:rFonts w:cstheme="minorHAnsi"/>
              </w:rPr>
            </w:pPr>
            <w:r w:rsidRPr="00D23B8F">
              <w:rPr>
                <w:rFonts w:cstheme="minorHAnsi"/>
              </w:rPr>
              <w:t xml:space="preserve">reliability and validity </w:t>
            </w:r>
          </w:p>
          <w:p w14:paraId="09228F51" w14:textId="77777777" w:rsidR="003D5899" w:rsidRPr="00D23B8F" w:rsidRDefault="003D5899" w:rsidP="008B1F03">
            <w:pPr>
              <w:pStyle w:val="Bulletlist"/>
              <w:spacing w:before="60" w:after="60" w:line="480" w:lineRule="auto"/>
              <w:rPr>
                <w:rFonts w:cstheme="minorHAnsi"/>
              </w:rPr>
            </w:pPr>
            <w:r w:rsidRPr="00D23B8F">
              <w:rPr>
                <w:rFonts w:cstheme="minorHAnsi"/>
              </w:rPr>
              <w:t xml:space="preserve">sampling </w:t>
            </w:r>
          </w:p>
          <w:p w14:paraId="0DE0CD0D" w14:textId="77777777" w:rsidR="003D5899" w:rsidRPr="00D23B8F" w:rsidRDefault="003D5899" w:rsidP="008B1F03">
            <w:pPr>
              <w:pStyle w:val="Bulletlist"/>
              <w:spacing w:before="60" w:after="60" w:line="480" w:lineRule="auto"/>
              <w:rPr>
                <w:rFonts w:cstheme="minorHAnsi"/>
              </w:rPr>
            </w:pPr>
            <w:r w:rsidRPr="00D23B8F">
              <w:rPr>
                <w:rFonts w:cstheme="minorHAnsi"/>
              </w:rPr>
              <w:t>sample size.</w:t>
            </w:r>
          </w:p>
        </w:tc>
      </w:tr>
      <w:tr w:rsidR="003D5899" w:rsidRPr="00D06834" w14:paraId="0D8B3DAD" w14:textId="77777777" w:rsidTr="00D760D2">
        <w:tc>
          <w:tcPr>
            <w:tcW w:w="1807" w:type="dxa"/>
            <w:vMerge/>
          </w:tcPr>
          <w:p w14:paraId="6E48FDA6" w14:textId="77777777" w:rsidR="003D5899" w:rsidRPr="00D23B8F" w:rsidRDefault="003D5899" w:rsidP="008B1F03">
            <w:pPr>
              <w:spacing w:before="60" w:after="60" w:line="480" w:lineRule="auto"/>
              <w:rPr>
                <w:rFonts w:cstheme="minorHAnsi"/>
                <w:sz w:val="24"/>
                <w:szCs w:val="24"/>
              </w:rPr>
            </w:pPr>
          </w:p>
        </w:tc>
        <w:tc>
          <w:tcPr>
            <w:tcW w:w="2406" w:type="dxa"/>
          </w:tcPr>
          <w:p w14:paraId="0137CDA2" w14:textId="77777777" w:rsidR="003D5899" w:rsidRPr="00D23B8F" w:rsidRDefault="003D5899" w:rsidP="008B1F03">
            <w:pPr>
              <w:spacing w:before="60" w:after="60" w:line="480" w:lineRule="auto"/>
              <w:rPr>
                <w:rFonts w:cstheme="minorHAnsi"/>
                <w:b/>
              </w:rPr>
            </w:pPr>
            <w:r w:rsidRPr="00D23B8F">
              <w:rPr>
                <w:rFonts w:cstheme="minorHAnsi"/>
                <w:b/>
              </w:rPr>
              <w:t>Data storage and security</w:t>
            </w:r>
          </w:p>
        </w:tc>
        <w:tc>
          <w:tcPr>
            <w:tcW w:w="4803" w:type="dxa"/>
          </w:tcPr>
          <w:p w14:paraId="54D86AEF" w14:textId="77777777" w:rsidR="003D5899" w:rsidRPr="00D23B8F" w:rsidRDefault="003D5899" w:rsidP="008B1F03">
            <w:pPr>
              <w:spacing w:before="60" w:after="60" w:line="480" w:lineRule="auto"/>
              <w:rPr>
                <w:rFonts w:cstheme="minorHAnsi"/>
              </w:rPr>
            </w:pPr>
            <w:r w:rsidRPr="00D23B8F">
              <w:rPr>
                <w:rFonts w:cstheme="minorHAnsi"/>
              </w:rPr>
              <w:t xml:space="preserve">This includes the important issue of ownership and stewardship of data. </w:t>
            </w:r>
          </w:p>
        </w:tc>
      </w:tr>
      <w:tr w:rsidR="003D5899" w:rsidRPr="00D06834" w14:paraId="61671345" w14:textId="77777777" w:rsidTr="00D760D2">
        <w:tc>
          <w:tcPr>
            <w:tcW w:w="1807" w:type="dxa"/>
            <w:vMerge/>
          </w:tcPr>
          <w:p w14:paraId="31C9D58A" w14:textId="77777777" w:rsidR="003D5899" w:rsidRPr="00D23B8F" w:rsidRDefault="003D5899" w:rsidP="008B1F03">
            <w:pPr>
              <w:spacing w:before="60" w:after="60" w:line="480" w:lineRule="auto"/>
              <w:rPr>
                <w:rFonts w:cstheme="minorHAnsi"/>
                <w:sz w:val="24"/>
                <w:szCs w:val="24"/>
              </w:rPr>
            </w:pPr>
          </w:p>
        </w:tc>
        <w:tc>
          <w:tcPr>
            <w:tcW w:w="2406" w:type="dxa"/>
          </w:tcPr>
          <w:p w14:paraId="2711D1BF" w14:textId="77777777" w:rsidR="003D5899" w:rsidRPr="00D23B8F" w:rsidRDefault="003D5899" w:rsidP="008B1F03">
            <w:pPr>
              <w:spacing w:before="60" w:after="60" w:line="480" w:lineRule="auto"/>
              <w:rPr>
                <w:rFonts w:cstheme="minorHAnsi"/>
              </w:rPr>
            </w:pPr>
            <w:r w:rsidRPr="00D23B8F">
              <w:rPr>
                <w:rFonts w:cstheme="minorHAnsi"/>
                <w:b/>
              </w:rPr>
              <w:t>Data determinism</w:t>
            </w:r>
          </w:p>
        </w:tc>
        <w:tc>
          <w:tcPr>
            <w:tcW w:w="4803" w:type="dxa"/>
          </w:tcPr>
          <w:p w14:paraId="71A85238" w14:textId="77777777" w:rsidR="003D5899" w:rsidRPr="00D23B8F" w:rsidRDefault="003D5899" w:rsidP="008B1F03">
            <w:pPr>
              <w:spacing w:before="60" w:after="60" w:line="480" w:lineRule="auto"/>
              <w:rPr>
                <w:rFonts w:cstheme="minorHAnsi"/>
              </w:rPr>
            </w:pPr>
            <w:r w:rsidRPr="00D23B8F">
              <w:rPr>
                <w:rFonts w:cstheme="minorHAnsi"/>
              </w:rPr>
              <w:t xml:space="preserve">Data determinism refers to the tendency to use a scattergun rather than a strategic and informed approach to data collection.  </w:t>
            </w:r>
          </w:p>
        </w:tc>
      </w:tr>
      <w:tr w:rsidR="003D5899" w:rsidRPr="00D06834" w14:paraId="7765B8E1" w14:textId="77777777" w:rsidTr="00D760D2">
        <w:tc>
          <w:tcPr>
            <w:tcW w:w="1807" w:type="dxa"/>
            <w:vMerge/>
          </w:tcPr>
          <w:p w14:paraId="4A5B31AE" w14:textId="77777777" w:rsidR="003D5899" w:rsidRPr="00D23B8F" w:rsidRDefault="003D5899" w:rsidP="008B1F03">
            <w:pPr>
              <w:spacing w:before="60" w:after="60" w:line="480" w:lineRule="auto"/>
              <w:rPr>
                <w:rFonts w:cstheme="minorHAnsi"/>
                <w:sz w:val="24"/>
                <w:szCs w:val="24"/>
              </w:rPr>
            </w:pPr>
          </w:p>
        </w:tc>
        <w:tc>
          <w:tcPr>
            <w:tcW w:w="2406" w:type="dxa"/>
          </w:tcPr>
          <w:p w14:paraId="278DC478" w14:textId="77777777" w:rsidR="003D5899" w:rsidRPr="00D23B8F" w:rsidRDefault="003D5899" w:rsidP="008B1F03">
            <w:pPr>
              <w:spacing w:before="60" w:after="60" w:line="480" w:lineRule="auto"/>
              <w:rPr>
                <w:rFonts w:cstheme="minorHAnsi"/>
              </w:rPr>
            </w:pPr>
            <w:r w:rsidRPr="00D23B8F">
              <w:rPr>
                <w:rFonts w:cstheme="minorHAnsi"/>
                <w:b/>
              </w:rPr>
              <w:t>Data changes over time</w:t>
            </w:r>
          </w:p>
        </w:tc>
        <w:tc>
          <w:tcPr>
            <w:tcW w:w="4803" w:type="dxa"/>
          </w:tcPr>
          <w:p w14:paraId="04B6E46C" w14:textId="77777777" w:rsidR="003D5899" w:rsidRPr="00D23B8F" w:rsidRDefault="003D5899" w:rsidP="008B1F03">
            <w:pPr>
              <w:spacing w:before="60" w:after="60" w:line="480" w:lineRule="auto"/>
              <w:rPr>
                <w:rFonts w:cstheme="minorHAnsi"/>
              </w:rPr>
            </w:pPr>
            <w:r w:rsidRPr="00D23B8F">
              <w:rPr>
                <w:rFonts w:cstheme="minorHAnsi"/>
              </w:rPr>
              <w:t>Lack of longitudinal data.</w:t>
            </w:r>
          </w:p>
        </w:tc>
      </w:tr>
    </w:tbl>
    <w:p w14:paraId="1472920B" w14:textId="77777777" w:rsidR="00072784" w:rsidRPr="00D23B8F" w:rsidRDefault="00523198" w:rsidP="008B1F03">
      <w:pPr>
        <w:pStyle w:val="Heading2"/>
        <w:spacing w:line="480" w:lineRule="auto"/>
        <w:rPr>
          <w:rFonts w:asciiTheme="minorHAnsi" w:hAnsiTheme="minorHAnsi" w:cstheme="minorHAnsi"/>
        </w:rPr>
      </w:pPr>
      <w:r w:rsidRPr="00D23B8F">
        <w:rPr>
          <w:rFonts w:asciiTheme="minorHAnsi" w:hAnsiTheme="minorHAnsi" w:cstheme="minorHAnsi"/>
        </w:rPr>
        <w:lastRenderedPageBreak/>
        <w:t>Upstream</w:t>
      </w:r>
    </w:p>
    <w:p w14:paraId="0A595EAE" w14:textId="77777777" w:rsidR="00523198" w:rsidRPr="00D23B8F" w:rsidRDefault="00523198" w:rsidP="008B1F03">
      <w:pPr>
        <w:pStyle w:val="Heading3"/>
        <w:spacing w:line="480" w:lineRule="auto"/>
        <w:rPr>
          <w:rFonts w:asciiTheme="minorHAnsi" w:hAnsiTheme="minorHAnsi" w:cstheme="minorHAnsi"/>
        </w:rPr>
      </w:pPr>
      <w:r w:rsidRPr="00D23B8F">
        <w:rPr>
          <w:rFonts w:asciiTheme="minorHAnsi" w:hAnsiTheme="minorHAnsi" w:cstheme="minorHAnsi"/>
        </w:rPr>
        <w:t>Data needs / scope</w:t>
      </w:r>
    </w:p>
    <w:p w14:paraId="2191F2E8" w14:textId="77777777" w:rsidR="00F67C40" w:rsidRPr="00D23B8F" w:rsidRDefault="00413245" w:rsidP="008B1F03">
      <w:pPr>
        <w:spacing w:after="0" w:line="480" w:lineRule="auto"/>
        <w:rPr>
          <w:rFonts w:cstheme="minorHAnsi"/>
          <w:sz w:val="24"/>
          <w:szCs w:val="24"/>
        </w:rPr>
      </w:pPr>
      <w:r w:rsidRPr="00D23B8F">
        <w:rPr>
          <w:rFonts w:cstheme="minorHAnsi"/>
          <w:sz w:val="24"/>
          <w:szCs w:val="24"/>
        </w:rPr>
        <w:t xml:space="preserve">What is the fundamental purpose for gathering data and deriving statistics? </w:t>
      </w:r>
      <w:r w:rsidR="00BF259C" w:rsidRPr="00D23B8F">
        <w:rPr>
          <w:rFonts w:cstheme="minorHAnsi"/>
          <w:sz w:val="24"/>
          <w:szCs w:val="24"/>
        </w:rPr>
        <w:t xml:space="preserve">The answer to this </w:t>
      </w:r>
      <w:r w:rsidR="00D52502" w:rsidRPr="00D23B8F">
        <w:rPr>
          <w:rFonts w:cstheme="minorHAnsi"/>
          <w:sz w:val="24"/>
          <w:szCs w:val="24"/>
        </w:rPr>
        <w:t>is inevitably</w:t>
      </w:r>
      <w:r w:rsidR="00E857F8" w:rsidRPr="00D23B8F">
        <w:rPr>
          <w:rFonts w:cstheme="minorHAnsi"/>
          <w:sz w:val="24"/>
          <w:szCs w:val="24"/>
        </w:rPr>
        <w:t xml:space="preserve"> a values</w:t>
      </w:r>
      <w:r w:rsidR="00BF259C" w:rsidRPr="00D23B8F">
        <w:rPr>
          <w:rFonts w:cstheme="minorHAnsi"/>
          <w:sz w:val="24"/>
          <w:szCs w:val="24"/>
        </w:rPr>
        <w:t xml:space="preserve"> choice</w:t>
      </w:r>
      <w:r w:rsidR="0057329F" w:rsidRPr="00D23B8F">
        <w:rPr>
          <w:rFonts w:cstheme="minorHAnsi"/>
          <w:sz w:val="24"/>
          <w:szCs w:val="24"/>
        </w:rPr>
        <w:t>.</w:t>
      </w:r>
      <w:r w:rsidR="00FA50F4" w:rsidRPr="00D23B8F">
        <w:rPr>
          <w:rFonts w:cstheme="minorHAnsi"/>
          <w:sz w:val="24"/>
          <w:szCs w:val="24"/>
        </w:rPr>
        <w:t xml:space="preserve"> </w:t>
      </w:r>
      <w:r w:rsidR="00137F52" w:rsidRPr="00D23B8F">
        <w:rPr>
          <w:rFonts w:cstheme="minorHAnsi"/>
          <w:sz w:val="24"/>
          <w:szCs w:val="24"/>
        </w:rPr>
        <w:t>In the higher education sector there are</w:t>
      </w:r>
      <w:r w:rsidR="008566DC" w:rsidRPr="00D23B8F">
        <w:rPr>
          <w:rFonts w:cstheme="minorHAnsi"/>
          <w:sz w:val="24"/>
          <w:szCs w:val="24"/>
        </w:rPr>
        <w:t>,</w:t>
      </w:r>
      <w:r w:rsidR="00137F52" w:rsidRPr="00D23B8F">
        <w:rPr>
          <w:rFonts w:cstheme="minorHAnsi"/>
          <w:sz w:val="24"/>
          <w:szCs w:val="24"/>
        </w:rPr>
        <w:t xml:space="preserve"> of course</w:t>
      </w:r>
      <w:r w:rsidR="008566DC" w:rsidRPr="00D23B8F">
        <w:rPr>
          <w:rFonts w:cstheme="minorHAnsi"/>
          <w:sz w:val="24"/>
          <w:szCs w:val="24"/>
        </w:rPr>
        <w:t>,</w:t>
      </w:r>
      <w:r w:rsidR="00137F52" w:rsidRPr="00D23B8F">
        <w:rPr>
          <w:rFonts w:cstheme="minorHAnsi"/>
          <w:sz w:val="24"/>
          <w:szCs w:val="24"/>
        </w:rPr>
        <w:t xml:space="preserve"> multiple </w:t>
      </w:r>
      <w:r w:rsidR="00F67C40" w:rsidRPr="00D23B8F">
        <w:rPr>
          <w:rFonts w:cstheme="minorHAnsi"/>
          <w:sz w:val="24"/>
          <w:szCs w:val="24"/>
        </w:rPr>
        <w:t xml:space="preserve">operational </w:t>
      </w:r>
      <w:r w:rsidR="00137F52" w:rsidRPr="00D23B8F">
        <w:rPr>
          <w:rFonts w:cstheme="minorHAnsi"/>
          <w:sz w:val="24"/>
          <w:szCs w:val="24"/>
        </w:rPr>
        <w:t>purposes</w:t>
      </w:r>
      <w:r w:rsidR="0061152F" w:rsidRPr="00D23B8F">
        <w:rPr>
          <w:rFonts w:cstheme="minorHAnsi"/>
          <w:sz w:val="24"/>
          <w:szCs w:val="24"/>
        </w:rPr>
        <w:t>, including</w:t>
      </w:r>
      <w:r w:rsidR="00137F52" w:rsidRPr="00D23B8F">
        <w:rPr>
          <w:rFonts w:cstheme="minorHAnsi"/>
          <w:sz w:val="24"/>
          <w:szCs w:val="24"/>
        </w:rPr>
        <w:t xml:space="preserve"> attraction, retention, transition, completion, course experience</w:t>
      </w:r>
      <w:r w:rsidR="00BF259C" w:rsidRPr="00D23B8F">
        <w:rPr>
          <w:rFonts w:cstheme="minorHAnsi"/>
          <w:sz w:val="24"/>
          <w:szCs w:val="24"/>
        </w:rPr>
        <w:t xml:space="preserve"> and</w:t>
      </w:r>
      <w:r w:rsidRPr="00D23B8F">
        <w:rPr>
          <w:rFonts w:cstheme="minorHAnsi"/>
          <w:sz w:val="24"/>
          <w:szCs w:val="24"/>
        </w:rPr>
        <w:t xml:space="preserve"> funding</w:t>
      </w:r>
      <w:r w:rsidR="00137F52" w:rsidRPr="00D23B8F">
        <w:rPr>
          <w:rFonts w:cstheme="minorHAnsi"/>
          <w:sz w:val="24"/>
          <w:szCs w:val="24"/>
        </w:rPr>
        <w:t xml:space="preserve">.  </w:t>
      </w:r>
      <w:r w:rsidR="000D723B" w:rsidRPr="00D23B8F">
        <w:rPr>
          <w:rFonts w:cstheme="minorHAnsi"/>
          <w:sz w:val="24"/>
          <w:szCs w:val="24"/>
        </w:rPr>
        <w:lastRenderedPageBreak/>
        <w:t xml:space="preserve">Recently, however, </w:t>
      </w:r>
      <w:r w:rsidR="0044546B" w:rsidRPr="00D23B8F">
        <w:rPr>
          <w:rFonts w:cstheme="minorHAnsi"/>
          <w:sz w:val="24"/>
          <w:szCs w:val="24"/>
        </w:rPr>
        <w:t xml:space="preserve">as one respondent noted, </w:t>
      </w:r>
      <w:r w:rsidR="000D723B" w:rsidRPr="00D23B8F">
        <w:rPr>
          <w:rFonts w:cstheme="minorHAnsi"/>
          <w:sz w:val="24"/>
          <w:szCs w:val="24"/>
        </w:rPr>
        <w:t>there has been a shift to higher order motivations</w:t>
      </w:r>
      <w:r w:rsidRPr="00D23B8F">
        <w:rPr>
          <w:rFonts w:cstheme="minorHAnsi"/>
          <w:sz w:val="24"/>
          <w:szCs w:val="24"/>
        </w:rPr>
        <w:t>,</w:t>
      </w:r>
      <w:r w:rsidR="00BF259C" w:rsidRPr="00D23B8F">
        <w:rPr>
          <w:rFonts w:cstheme="minorHAnsi"/>
          <w:sz w:val="24"/>
          <w:szCs w:val="24"/>
        </w:rPr>
        <w:t xml:space="preserve"> </w:t>
      </w:r>
      <w:r w:rsidRPr="00D23B8F">
        <w:rPr>
          <w:rFonts w:cstheme="minorHAnsi"/>
          <w:sz w:val="24"/>
          <w:szCs w:val="24"/>
        </w:rPr>
        <w:t xml:space="preserve">which </w:t>
      </w:r>
      <w:r w:rsidR="000D723B" w:rsidRPr="00D23B8F">
        <w:rPr>
          <w:rFonts w:cstheme="minorHAnsi"/>
          <w:sz w:val="24"/>
          <w:szCs w:val="24"/>
        </w:rPr>
        <w:t xml:space="preserve">include (or ought to include) institutional status, reward or profile linked to the achievement of these higher order </w:t>
      </w:r>
      <w:r w:rsidR="008A3B01" w:rsidRPr="00D23B8F">
        <w:rPr>
          <w:rFonts w:cstheme="minorHAnsi"/>
          <w:sz w:val="24"/>
          <w:szCs w:val="24"/>
        </w:rPr>
        <w:t>aspirations</w:t>
      </w:r>
      <w:r w:rsidR="000D723B" w:rsidRPr="00D23B8F">
        <w:rPr>
          <w:rFonts w:cstheme="minorHAnsi"/>
          <w:sz w:val="24"/>
          <w:szCs w:val="24"/>
        </w:rPr>
        <w:t xml:space="preserve">.  </w:t>
      </w:r>
      <w:r w:rsidR="00BF259C" w:rsidRPr="00D23B8F">
        <w:rPr>
          <w:rFonts w:cstheme="minorHAnsi"/>
          <w:sz w:val="24"/>
          <w:szCs w:val="24"/>
        </w:rPr>
        <w:t>T</w:t>
      </w:r>
      <w:r w:rsidR="00F67C40" w:rsidRPr="00D23B8F">
        <w:rPr>
          <w:rFonts w:cstheme="minorHAnsi"/>
          <w:sz w:val="24"/>
          <w:szCs w:val="24"/>
        </w:rPr>
        <w:t xml:space="preserve">he participation of Aboriginal and Torres Strait Islander students </w:t>
      </w:r>
      <w:r w:rsidR="005F16BF" w:rsidRPr="00D23B8F">
        <w:rPr>
          <w:rFonts w:cstheme="minorHAnsi"/>
          <w:sz w:val="24"/>
          <w:szCs w:val="24"/>
        </w:rPr>
        <w:t>in education</w:t>
      </w:r>
      <w:r w:rsidR="008566DC" w:rsidRPr="00D23B8F">
        <w:rPr>
          <w:rFonts w:cstheme="minorHAnsi"/>
          <w:sz w:val="24"/>
          <w:szCs w:val="24"/>
        </w:rPr>
        <w:t xml:space="preserve"> is</w:t>
      </w:r>
      <w:r w:rsidR="005F16BF" w:rsidRPr="00D23B8F">
        <w:rPr>
          <w:rFonts w:cstheme="minorHAnsi"/>
          <w:sz w:val="24"/>
          <w:szCs w:val="24"/>
        </w:rPr>
        <w:t xml:space="preserve"> </w:t>
      </w:r>
      <w:r w:rsidR="00F01D5A" w:rsidRPr="00D23B8F">
        <w:rPr>
          <w:rFonts w:cstheme="minorHAnsi"/>
          <w:sz w:val="24"/>
          <w:szCs w:val="24"/>
        </w:rPr>
        <w:t xml:space="preserve">key to social inclusion, </w:t>
      </w:r>
      <w:r w:rsidR="00F67C40" w:rsidRPr="00D23B8F">
        <w:rPr>
          <w:rFonts w:cstheme="minorHAnsi"/>
          <w:sz w:val="24"/>
          <w:szCs w:val="24"/>
        </w:rPr>
        <w:t>is a core goal of the Closing the Gap initiatives</w:t>
      </w:r>
      <w:r w:rsidR="0061152F" w:rsidRPr="00D23B8F">
        <w:rPr>
          <w:rFonts w:cstheme="minorHAnsi"/>
          <w:sz w:val="24"/>
          <w:szCs w:val="24"/>
        </w:rPr>
        <w:t>,</w:t>
      </w:r>
      <w:r w:rsidR="00F67C40" w:rsidRPr="00D23B8F">
        <w:rPr>
          <w:rFonts w:cstheme="minorHAnsi"/>
          <w:sz w:val="24"/>
          <w:szCs w:val="24"/>
        </w:rPr>
        <w:t xml:space="preserve"> and data must be tied t</w:t>
      </w:r>
      <w:r w:rsidR="00E857F8" w:rsidRPr="00D23B8F">
        <w:rPr>
          <w:rFonts w:cstheme="minorHAnsi"/>
          <w:sz w:val="24"/>
          <w:szCs w:val="24"/>
        </w:rPr>
        <w:t xml:space="preserve">o these </w:t>
      </w:r>
      <w:r w:rsidR="00E857F8" w:rsidRPr="00D23B8F">
        <w:rPr>
          <w:rFonts w:cstheme="minorHAnsi"/>
          <w:sz w:val="24"/>
          <w:szCs w:val="24"/>
        </w:rPr>
        <w:lastRenderedPageBreak/>
        <w:t>overarching goals</w:t>
      </w:r>
      <w:r w:rsidR="00F01D5A" w:rsidRPr="00D23B8F">
        <w:rPr>
          <w:rFonts w:cstheme="minorHAnsi"/>
          <w:sz w:val="24"/>
          <w:szCs w:val="24"/>
        </w:rPr>
        <w:t xml:space="preserve"> (Pech</w:t>
      </w:r>
      <w:r w:rsidR="006E5D5E" w:rsidRPr="00D23B8F">
        <w:rPr>
          <w:rFonts w:cstheme="minorHAnsi"/>
          <w:sz w:val="24"/>
          <w:szCs w:val="24"/>
        </w:rPr>
        <w:t>e</w:t>
      </w:r>
      <w:r w:rsidR="00F01D5A" w:rsidRPr="00D23B8F">
        <w:rPr>
          <w:rFonts w:cstheme="minorHAnsi"/>
          <w:sz w:val="24"/>
          <w:szCs w:val="24"/>
        </w:rPr>
        <w:t xml:space="preserve">nkina </w:t>
      </w:r>
      <w:r w:rsidR="000840A9">
        <w:rPr>
          <w:rFonts w:cstheme="minorHAnsi"/>
          <w:sz w:val="24"/>
          <w:szCs w:val="24"/>
        </w:rPr>
        <w:t>and</w:t>
      </w:r>
      <w:r w:rsidR="000840A9" w:rsidRPr="00D23B8F">
        <w:rPr>
          <w:rFonts w:cstheme="minorHAnsi"/>
          <w:sz w:val="24"/>
          <w:szCs w:val="24"/>
        </w:rPr>
        <w:t xml:space="preserve"> </w:t>
      </w:r>
      <w:r w:rsidR="00F01D5A" w:rsidRPr="00D23B8F">
        <w:rPr>
          <w:rFonts w:cstheme="minorHAnsi"/>
          <w:sz w:val="24"/>
          <w:szCs w:val="24"/>
        </w:rPr>
        <w:t>Anderson 2011)</w:t>
      </w:r>
      <w:r w:rsidR="00E857F8" w:rsidRPr="00D23B8F">
        <w:rPr>
          <w:rFonts w:cstheme="minorHAnsi"/>
          <w:sz w:val="24"/>
          <w:szCs w:val="24"/>
        </w:rPr>
        <w:t xml:space="preserve">.  However, this association should </w:t>
      </w:r>
      <w:r w:rsidR="00AF31CC" w:rsidRPr="00D23B8F">
        <w:rPr>
          <w:rFonts w:cstheme="minorHAnsi"/>
          <w:sz w:val="24"/>
          <w:szCs w:val="24"/>
        </w:rPr>
        <w:t>not b</w:t>
      </w:r>
      <w:r w:rsidR="00E857F8" w:rsidRPr="00D23B8F">
        <w:rPr>
          <w:rFonts w:cstheme="minorHAnsi"/>
          <w:sz w:val="24"/>
          <w:szCs w:val="24"/>
        </w:rPr>
        <w:t xml:space="preserve">e uncritical.  Jordan </w:t>
      </w:r>
      <w:r w:rsidR="00E857F8" w:rsidRPr="00D23B8F">
        <w:rPr>
          <w:rFonts w:cstheme="minorHAnsi"/>
          <w:iCs/>
          <w:sz w:val="24"/>
          <w:szCs w:val="24"/>
        </w:rPr>
        <w:t>et al</w:t>
      </w:r>
      <w:r w:rsidR="00305FFD" w:rsidRPr="00D23B8F">
        <w:rPr>
          <w:rFonts w:cstheme="minorHAnsi"/>
          <w:iCs/>
          <w:sz w:val="24"/>
          <w:szCs w:val="24"/>
        </w:rPr>
        <w:t>.</w:t>
      </w:r>
      <w:r w:rsidR="00E857F8" w:rsidRPr="00D23B8F">
        <w:rPr>
          <w:rFonts w:cstheme="minorHAnsi"/>
          <w:sz w:val="24"/>
          <w:szCs w:val="24"/>
        </w:rPr>
        <w:t xml:space="preserve"> (2010) note that while the Closing the Gap targets recognise the importance of culture</w:t>
      </w:r>
      <w:r w:rsidR="0061152F" w:rsidRPr="00D23B8F">
        <w:rPr>
          <w:rFonts w:cstheme="minorHAnsi"/>
          <w:sz w:val="24"/>
          <w:szCs w:val="24"/>
        </w:rPr>
        <w:t>,</w:t>
      </w:r>
      <w:r w:rsidR="00E857F8" w:rsidRPr="00D23B8F">
        <w:rPr>
          <w:rFonts w:cstheme="minorHAnsi"/>
          <w:sz w:val="24"/>
          <w:szCs w:val="24"/>
        </w:rPr>
        <w:t xml:space="preserve"> almost all the measures are a predetermined set of socioeconomic indicators to the exclusion of </w:t>
      </w:r>
      <w:r w:rsidR="000840A9">
        <w:rPr>
          <w:rFonts w:cstheme="minorHAnsi"/>
          <w:sz w:val="24"/>
          <w:szCs w:val="24"/>
        </w:rPr>
        <w:t>‘</w:t>
      </w:r>
      <w:r w:rsidR="00E857F8" w:rsidRPr="00D23B8F">
        <w:rPr>
          <w:rFonts w:cstheme="minorHAnsi"/>
          <w:sz w:val="24"/>
          <w:szCs w:val="24"/>
        </w:rPr>
        <w:t>Indi</w:t>
      </w:r>
      <w:r w:rsidR="00F01D5A" w:rsidRPr="00D23B8F">
        <w:rPr>
          <w:rFonts w:cstheme="minorHAnsi"/>
          <w:sz w:val="24"/>
          <w:szCs w:val="24"/>
        </w:rPr>
        <w:t>genous life</w:t>
      </w:r>
      <w:r w:rsidR="006D2902" w:rsidRPr="00D23B8F">
        <w:rPr>
          <w:rFonts w:cstheme="minorHAnsi"/>
          <w:sz w:val="24"/>
          <w:szCs w:val="24"/>
        </w:rPr>
        <w:t xml:space="preserve"> </w:t>
      </w:r>
      <w:r w:rsidR="00F01D5A" w:rsidRPr="00D23B8F">
        <w:rPr>
          <w:rFonts w:cstheme="minorHAnsi"/>
          <w:sz w:val="24"/>
          <w:szCs w:val="24"/>
        </w:rPr>
        <w:t>projects</w:t>
      </w:r>
      <w:r w:rsidR="000840A9">
        <w:rPr>
          <w:rFonts w:cstheme="minorHAnsi"/>
          <w:sz w:val="24"/>
          <w:szCs w:val="24"/>
        </w:rPr>
        <w:t>’</w:t>
      </w:r>
      <w:r w:rsidR="00F01D5A" w:rsidRPr="00D23B8F">
        <w:rPr>
          <w:rFonts w:cstheme="minorHAnsi"/>
          <w:sz w:val="24"/>
          <w:szCs w:val="24"/>
        </w:rPr>
        <w:t xml:space="preserve"> (40).</w:t>
      </w:r>
      <w:r w:rsidR="00FA50F4" w:rsidRPr="00D23B8F">
        <w:rPr>
          <w:rFonts w:cstheme="minorHAnsi"/>
          <w:sz w:val="24"/>
          <w:szCs w:val="24"/>
        </w:rPr>
        <w:t xml:space="preserve">  </w:t>
      </w:r>
    </w:p>
    <w:p w14:paraId="772082DF" w14:textId="77777777" w:rsidR="00F67C40" w:rsidRPr="00D23B8F" w:rsidRDefault="00F67C40" w:rsidP="008B1F03">
      <w:pPr>
        <w:spacing w:after="0" w:line="480" w:lineRule="auto"/>
        <w:rPr>
          <w:rFonts w:cstheme="minorHAnsi"/>
          <w:sz w:val="24"/>
          <w:szCs w:val="24"/>
        </w:rPr>
      </w:pPr>
    </w:p>
    <w:p w14:paraId="3549A7FD" w14:textId="77777777" w:rsidR="00665F6B" w:rsidRPr="00D23B8F" w:rsidRDefault="00F67C40" w:rsidP="008B1F03">
      <w:pPr>
        <w:spacing w:after="0" w:line="480" w:lineRule="auto"/>
        <w:rPr>
          <w:rFonts w:cstheme="minorHAnsi"/>
          <w:sz w:val="24"/>
          <w:szCs w:val="24"/>
        </w:rPr>
      </w:pPr>
      <w:r w:rsidRPr="00D23B8F">
        <w:rPr>
          <w:rFonts w:cstheme="minorHAnsi"/>
          <w:sz w:val="24"/>
          <w:szCs w:val="24"/>
        </w:rPr>
        <w:lastRenderedPageBreak/>
        <w:t>If this is indeed the core purpose then it suggests</w:t>
      </w:r>
      <w:r w:rsidR="00D45F72" w:rsidRPr="00D23B8F">
        <w:rPr>
          <w:rFonts w:cstheme="minorHAnsi"/>
          <w:sz w:val="24"/>
          <w:szCs w:val="24"/>
        </w:rPr>
        <w:t>,</w:t>
      </w:r>
      <w:r w:rsidRPr="00D23B8F">
        <w:rPr>
          <w:rFonts w:cstheme="minorHAnsi"/>
          <w:sz w:val="24"/>
          <w:szCs w:val="24"/>
        </w:rPr>
        <w:t xml:space="preserve"> and in fact demands</w:t>
      </w:r>
      <w:r w:rsidR="00D45F72" w:rsidRPr="00D23B8F">
        <w:rPr>
          <w:rFonts w:cstheme="minorHAnsi"/>
          <w:sz w:val="24"/>
          <w:szCs w:val="24"/>
        </w:rPr>
        <w:t>,</w:t>
      </w:r>
      <w:r w:rsidRPr="00D23B8F">
        <w:rPr>
          <w:rFonts w:cstheme="minorHAnsi"/>
          <w:sz w:val="24"/>
          <w:szCs w:val="24"/>
        </w:rPr>
        <w:t xml:space="preserve"> </w:t>
      </w:r>
      <w:r w:rsidR="00D45F72" w:rsidRPr="00D23B8F">
        <w:rPr>
          <w:rFonts w:cstheme="minorHAnsi"/>
          <w:sz w:val="24"/>
          <w:szCs w:val="24"/>
        </w:rPr>
        <w:t>a strengths-</w:t>
      </w:r>
      <w:r w:rsidRPr="00D23B8F">
        <w:rPr>
          <w:rFonts w:cstheme="minorHAnsi"/>
          <w:sz w:val="24"/>
          <w:szCs w:val="24"/>
        </w:rPr>
        <w:t>based approach.  This values</w:t>
      </w:r>
      <w:r w:rsidR="00122F79" w:rsidRPr="00D23B8F">
        <w:rPr>
          <w:rFonts w:cstheme="minorHAnsi"/>
          <w:sz w:val="24"/>
          <w:szCs w:val="24"/>
        </w:rPr>
        <w:t xml:space="preserve">-centred </w:t>
      </w:r>
      <w:r w:rsidRPr="00D23B8F">
        <w:rPr>
          <w:rFonts w:cstheme="minorHAnsi"/>
          <w:sz w:val="24"/>
          <w:szCs w:val="24"/>
        </w:rPr>
        <w:t>position has become an important feature of attempts to close the gap between Indigenous and other Australians</w:t>
      </w:r>
      <w:r w:rsidR="00D45F72" w:rsidRPr="00D23B8F">
        <w:rPr>
          <w:rFonts w:cstheme="minorHAnsi"/>
          <w:sz w:val="24"/>
          <w:szCs w:val="24"/>
        </w:rPr>
        <w:t>,</w:t>
      </w:r>
      <w:r w:rsidRPr="00D23B8F">
        <w:rPr>
          <w:rFonts w:cstheme="minorHAnsi"/>
          <w:sz w:val="24"/>
          <w:szCs w:val="24"/>
        </w:rPr>
        <w:t xml:space="preserve"> and quality data should serve this agenda and guide the selections and development of indicators. </w:t>
      </w:r>
    </w:p>
    <w:p w14:paraId="65BE5BDE" w14:textId="77777777" w:rsidR="00523198" w:rsidRPr="00D23B8F" w:rsidRDefault="00523198" w:rsidP="008B1F03">
      <w:pPr>
        <w:pStyle w:val="Heading3"/>
        <w:spacing w:line="480" w:lineRule="auto"/>
        <w:rPr>
          <w:rFonts w:asciiTheme="minorHAnsi" w:hAnsiTheme="minorHAnsi" w:cstheme="minorHAnsi"/>
        </w:rPr>
      </w:pPr>
      <w:r w:rsidRPr="00D23B8F">
        <w:rPr>
          <w:rFonts w:asciiTheme="minorHAnsi" w:hAnsiTheme="minorHAnsi" w:cstheme="minorHAnsi"/>
        </w:rPr>
        <w:lastRenderedPageBreak/>
        <w:t>Data misuse and abuse</w:t>
      </w:r>
    </w:p>
    <w:p w14:paraId="52D72E03" w14:textId="1EB3C858" w:rsidR="00F559DD" w:rsidRPr="00D23B8F" w:rsidRDefault="00F67C40" w:rsidP="008B1F03">
      <w:pPr>
        <w:spacing w:line="480" w:lineRule="auto"/>
        <w:rPr>
          <w:rFonts w:cstheme="minorHAnsi"/>
          <w:sz w:val="24"/>
          <w:szCs w:val="24"/>
        </w:rPr>
      </w:pPr>
      <w:r w:rsidRPr="00D23B8F">
        <w:rPr>
          <w:rFonts w:cstheme="minorHAnsi"/>
          <w:sz w:val="24"/>
          <w:szCs w:val="24"/>
        </w:rPr>
        <w:t>Data quality should be judged against the fallacies outlined by Broadbent (2004)</w:t>
      </w:r>
      <w:r w:rsidR="00413245" w:rsidRPr="00D23B8F">
        <w:rPr>
          <w:rFonts w:cstheme="minorHAnsi"/>
          <w:sz w:val="24"/>
          <w:szCs w:val="24"/>
        </w:rPr>
        <w:t>, above</w:t>
      </w:r>
      <w:r w:rsidRPr="00D23B8F">
        <w:rPr>
          <w:rFonts w:cstheme="minorHAnsi"/>
          <w:sz w:val="24"/>
          <w:szCs w:val="24"/>
        </w:rPr>
        <w:t xml:space="preserve">.  The naïve, the scientific and the deceptive fallacies should be identified, named and addressed.  This of course is a central goal of culturally appropriate critical </w:t>
      </w:r>
      <w:r w:rsidR="002D0D5C" w:rsidRPr="00D23B8F">
        <w:rPr>
          <w:rFonts w:cstheme="minorHAnsi"/>
          <w:sz w:val="24"/>
          <w:szCs w:val="24"/>
        </w:rPr>
        <w:t>statistical literacy.  For many authoritative figures, Australian Indigenous statistical</w:t>
      </w:r>
      <w:r w:rsidR="005570D2" w:rsidRPr="00D23B8F">
        <w:rPr>
          <w:rFonts w:cstheme="minorHAnsi"/>
          <w:sz w:val="24"/>
          <w:szCs w:val="24"/>
        </w:rPr>
        <w:t xml:space="preserve"> treatments</w:t>
      </w:r>
      <w:r w:rsidR="002D0D5C" w:rsidRPr="00D23B8F">
        <w:rPr>
          <w:rFonts w:cstheme="minorHAnsi"/>
          <w:sz w:val="24"/>
          <w:szCs w:val="24"/>
        </w:rPr>
        <w:t xml:space="preserve"> are </w:t>
      </w:r>
      <w:r w:rsidR="000840A9">
        <w:rPr>
          <w:rFonts w:cstheme="minorHAnsi"/>
          <w:sz w:val="24"/>
          <w:szCs w:val="24"/>
        </w:rPr>
        <w:lastRenderedPageBreak/>
        <w:t>‘</w:t>
      </w:r>
      <w:r w:rsidR="002D0D5C" w:rsidRPr="00D23B8F">
        <w:rPr>
          <w:rFonts w:cstheme="minorHAnsi"/>
          <w:sz w:val="24"/>
          <w:szCs w:val="24"/>
        </w:rPr>
        <w:t>fraught with contradictory exclusionary practices</w:t>
      </w:r>
      <w:r w:rsidR="000840A9">
        <w:rPr>
          <w:rFonts w:cstheme="minorHAnsi"/>
          <w:sz w:val="24"/>
          <w:szCs w:val="24"/>
        </w:rPr>
        <w:t>’</w:t>
      </w:r>
      <w:r w:rsidR="002D0D5C" w:rsidRPr="00D23B8F">
        <w:rPr>
          <w:rFonts w:cstheme="minorHAnsi"/>
          <w:sz w:val="24"/>
          <w:szCs w:val="24"/>
        </w:rPr>
        <w:t xml:space="preserve"> (Walter</w:t>
      </w:r>
      <w:r w:rsidR="000840A9">
        <w:rPr>
          <w:rFonts w:cstheme="minorHAnsi"/>
          <w:sz w:val="24"/>
          <w:szCs w:val="24"/>
        </w:rPr>
        <w:t xml:space="preserve"> </w:t>
      </w:r>
      <w:r w:rsidR="002D0D5C" w:rsidRPr="00D23B8F">
        <w:rPr>
          <w:rFonts w:cstheme="minorHAnsi"/>
          <w:sz w:val="24"/>
          <w:szCs w:val="24"/>
        </w:rPr>
        <w:t>2010</w:t>
      </w:r>
      <w:r w:rsidR="000840A9">
        <w:rPr>
          <w:rFonts w:cstheme="minorHAnsi"/>
          <w:sz w:val="24"/>
          <w:szCs w:val="24"/>
        </w:rPr>
        <w:t xml:space="preserve">: </w:t>
      </w:r>
      <w:r w:rsidR="002D0D5C" w:rsidRPr="00D23B8F">
        <w:rPr>
          <w:rFonts w:cstheme="minorHAnsi"/>
          <w:sz w:val="24"/>
          <w:szCs w:val="24"/>
        </w:rPr>
        <w:t xml:space="preserve">46). </w:t>
      </w:r>
      <w:r w:rsidR="009C0917" w:rsidRPr="00D23B8F">
        <w:rPr>
          <w:rFonts w:cstheme="minorHAnsi"/>
          <w:sz w:val="24"/>
          <w:szCs w:val="24"/>
        </w:rPr>
        <w:t>Any data collections or treatments that serve to further marginalise, exoticise</w:t>
      </w:r>
      <w:r w:rsidR="002D0D5C" w:rsidRPr="00D23B8F">
        <w:rPr>
          <w:rFonts w:cstheme="minorHAnsi"/>
          <w:sz w:val="24"/>
          <w:szCs w:val="24"/>
        </w:rPr>
        <w:t>, pathologise</w:t>
      </w:r>
      <w:r w:rsidR="00425ADA" w:rsidRPr="00D23B8F">
        <w:rPr>
          <w:rFonts w:cstheme="minorHAnsi"/>
          <w:sz w:val="24"/>
          <w:szCs w:val="24"/>
        </w:rPr>
        <w:t>, subjugate</w:t>
      </w:r>
      <w:r w:rsidR="009C0917" w:rsidRPr="00D23B8F">
        <w:rPr>
          <w:rFonts w:cstheme="minorHAnsi"/>
          <w:sz w:val="24"/>
          <w:szCs w:val="24"/>
        </w:rPr>
        <w:t xml:space="preserve"> or ghettoiseAboriginal </w:t>
      </w:r>
      <w:r w:rsidR="00143E66" w:rsidRPr="00D23B8F">
        <w:rPr>
          <w:rFonts w:cstheme="minorHAnsi"/>
          <w:sz w:val="24"/>
          <w:szCs w:val="24"/>
        </w:rPr>
        <w:t xml:space="preserve">and Torres Strait Islander </w:t>
      </w:r>
      <w:r w:rsidR="009C0917" w:rsidRPr="00D23B8F">
        <w:rPr>
          <w:rFonts w:cstheme="minorHAnsi"/>
          <w:sz w:val="24"/>
          <w:szCs w:val="24"/>
        </w:rPr>
        <w:t>people through ignorance or Machiavellian intent are the antithesis of data quality and must be resisted.  The</w:t>
      </w:r>
      <w:r w:rsidR="006E3332" w:rsidRPr="00D23B8F">
        <w:rPr>
          <w:rFonts w:cstheme="minorHAnsi"/>
          <w:sz w:val="24"/>
          <w:szCs w:val="24"/>
        </w:rPr>
        <w:t xml:space="preserve"> </w:t>
      </w:r>
      <w:r w:rsidR="000840A9">
        <w:rPr>
          <w:rFonts w:cstheme="minorHAnsi"/>
          <w:sz w:val="24"/>
          <w:szCs w:val="24"/>
        </w:rPr>
        <w:t>‘</w:t>
      </w:r>
      <w:r w:rsidR="009C0917" w:rsidRPr="00D23B8F">
        <w:rPr>
          <w:rFonts w:cstheme="minorHAnsi"/>
          <w:iCs/>
          <w:sz w:val="24"/>
          <w:szCs w:val="24"/>
        </w:rPr>
        <w:t>dual lens</w:t>
      </w:r>
      <w:r w:rsidR="000840A9">
        <w:rPr>
          <w:rFonts w:cstheme="minorHAnsi"/>
          <w:iCs/>
          <w:sz w:val="24"/>
          <w:szCs w:val="24"/>
        </w:rPr>
        <w:t>’</w:t>
      </w:r>
      <w:r w:rsidR="009C0917" w:rsidRPr="00D23B8F">
        <w:rPr>
          <w:rFonts w:cstheme="minorHAnsi"/>
          <w:sz w:val="24"/>
          <w:szCs w:val="24"/>
        </w:rPr>
        <w:t xml:space="preserve"> provides an opportunity for </w:t>
      </w:r>
      <w:r w:rsidR="005570D2" w:rsidRPr="00D23B8F">
        <w:rPr>
          <w:rFonts w:cstheme="minorHAnsi"/>
          <w:sz w:val="24"/>
          <w:szCs w:val="24"/>
        </w:rPr>
        <w:t>reflexivity</w:t>
      </w:r>
      <w:r w:rsidR="009C0917" w:rsidRPr="00D23B8F">
        <w:rPr>
          <w:rFonts w:cstheme="minorHAnsi"/>
          <w:sz w:val="24"/>
          <w:szCs w:val="24"/>
        </w:rPr>
        <w:t xml:space="preserve"> in this respect.</w:t>
      </w:r>
      <w:r w:rsidR="001849D0" w:rsidRPr="00D23B8F">
        <w:rPr>
          <w:rFonts w:cstheme="minorHAnsi"/>
          <w:sz w:val="24"/>
          <w:szCs w:val="24"/>
        </w:rPr>
        <w:t xml:space="preserve">  This </w:t>
      </w:r>
      <w:r w:rsidR="001849D0" w:rsidRPr="00D23B8F">
        <w:rPr>
          <w:rFonts w:cstheme="minorHAnsi"/>
          <w:sz w:val="24"/>
          <w:szCs w:val="24"/>
        </w:rPr>
        <w:lastRenderedPageBreak/>
        <w:t xml:space="preserve">challenge must be met through active engagement in the intercultural space (Nakata 2013). </w:t>
      </w:r>
    </w:p>
    <w:p w14:paraId="240D052E" w14:textId="77777777" w:rsidR="00523198" w:rsidRPr="00D23B8F" w:rsidRDefault="00523198" w:rsidP="008B1F03">
      <w:pPr>
        <w:pStyle w:val="Heading3"/>
        <w:spacing w:line="480" w:lineRule="auto"/>
        <w:rPr>
          <w:rFonts w:asciiTheme="minorHAnsi" w:hAnsiTheme="minorHAnsi" w:cstheme="minorHAnsi"/>
        </w:rPr>
      </w:pPr>
      <w:r w:rsidRPr="00D23B8F">
        <w:rPr>
          <w:rFonts w:asciiTheme="minorHAnsi" w:hAnsiTheme="minorHAnsi" w:cstheme="minorHAnsi"/>
        </w:rPr>
        <w:t>Data consistency</w:t>
      </w:r>
    </w:p>
    <w:p w14:paraId="228C7241" w14:textId="77777777" w:rsidR="00594B07" w:rsidRPr="00D23B8F" w:rsidRDefault="00594B07" w:rsidP="008B1F03">
      <w:pPr>
        <w:spacing w:after="0" w:line="480" w:lineRule="auto"/>
        <w:rPr>
          <w:rFonts w:cstheme="minorHAnsi"/>
          <w:noProof/>
          <w:sz w:val="24"/>
          <w:szCs w:val="24"/>
        </w:rPr>
      </w:pPr>
      <w:r w:rsidRPr="00D23B8F">
        <w:rPr>
          <w:rFonts w:cstheme="minorHAnsi"/>
          <w:sz w:val="24"/>
          <w:szCs w:val="24"/>
        </w:rPr>
        <w:t xml:space="preserve">Inconsistent datasets and processes for collection can lead to difficulties </w:t>
      </w:r>
      <w:r w:rsidR="00D45F72" w:rsidRPr="00D23B8F">
        <w:rPr>
          <w:rFonts w:cstheme="minorHAnsi"/>
          <w:sz w:val="24"/>
          <w:szCs w:val="24"/>
        </w:rPr>
        <w:t xml:space="preserve">with </w:t>
      </w:r>
      <w:r w:rsidRPr="00D23B8F">
        <w:rPr>
          <w:rFonts w:cstheme="minorHAnsi"/>
          <w:sz w:val="24"/>
          <w:szCs w:val="24"/>
        </w:rPr>
        <w:t>understanding and planning for the successful transition of Aboriginal and Torres Strait Islander peoples into</w:t>
      </w:r>
      <w:r w:rsidR="00D45F72" w:rsidRPr="00D23B8F">
        <w:rPr>
          <w:rFonts w:cstheme="minorHAnsi"/>
          <w:sz w:val="24"/>
          <w:szCs w:val="24"/>
        </w:rPr>
        <w:t>,</w:t>
      </w:r>
      <w:r w:rsidRPr="00D23B8F">
        <w:rPr>
          <w:rFonts w:cstheme="minorHAnsi"/>
          <w:sz w:val="24"/>
          <w:szCs w:val="24"/>
        </w:rPr>
        <w:t xml:space="preserve"> and through</w:t>
      </w:r>
      <w:r w:rsidR="00D45F72" w:rsidRPr="00D23B8F">
        <w:rPr>
          <w:rFonts w:cstheme="minorHAnsi"/>
          <w:sz w:val="24"/>
          <w:szCs w:val="24"/>
        </w:rPr>
        <w:t>,</w:t>
      </w:r>
      <w:r w:rsidRPr="00D23B8F">
        <w:rPr>
          <w:rFonts w:cstheme="minorHAnsi"/>
          <w:sz w:val="24"/>
          <w:szCs w:val="24"/>
        </w:rPr>
        <w:t xml:space="preserve"> higher education </w:t>
      </w:r>
      <w:r w:rsidRPr="00D23B8F">
        <w:rPr>
          <w:rFonts w:cstheme="minorHAnsi"/>
          <w:noProof/>
          <w:sz w:val="24"/>
          <w:szCs w:val="24"/>
        </w:rPr>
        <w:t xml:space="preserve">(Kinnane </w:t>
      </w:r>
      <w:r w:rsidRPr="00D23B8F">
        <w:rPr>
          <w:rFonts w:cstheme="minorHAnsi"/>
          <w:iCs/>
          <w:noProof/>
          <w:sz w:val="24"/>
          <w:szCs w:val="24"/>
        </w:rPr>
        <w:t>et al</w:t>
      </w:r>
      <w:r w:rsidRPr="00D23B8F">
        <w:rPr>
          <w:rFonts w:cstheme="minorHAnsi"/>
          <w:noProof/>
          <w:sz w:val="24"/>
          <w:szCs w:val="24"/>
        </w:rPr>
        <w:t xml:space="preserve">. </w:t>
      </w:r>
      <w:r w:rsidRPr="00D23B8F">
        <w:rPr>
          <w:rFonts w:cstheme="minorHAnsi"/>
          <w:noProof/>
          <w:sz w:val="24"/>
          <w:szCs w:val="24"/>
        </w:rPr>
        <w:lastRenderedPageBreak/>
        <w:t>2014</w:t>
      </w:r>
      <w:r w:rsidR="00D45F72" w:rsidRPr="00D23B8F">
        <w:rPr>
          <w:rFonts w:cstheme="minorHAnsi"/>
          <w:noProof/>
          <w:sz w:val="24"/>
          <w:szCs w:val="24"/>
        </w:rPr>
        <w:t>;</w:t>
      </w:r>
      <w:r w:rsidRPr="00D23B8F">
        <w:rPr>
          <w:rFonts w:cstheme="minorHAnsi"/>
          <w:sz w:val="24"/>
          <w:szCs w:val="24"/>
        </w:rPr>
        <w:t xml:space="preserve"> </w:t>
      </w:r>
      <w:r w:rsidR="005F16BF" w:rsidRPr="00D23B8F">
        <w:rPr>
          <w:rFonts w:cstheme="minorHAnsi"/>
          <w:sz w:val="24"/>
          <w:szCs w:val="24"/>
        </w:rPr>
        <w:t xml:space="preserve">COAG Reform </w:t>
      </w:r>
      <w:r w:rsidR="00D45F72" w:rsidRPr="00D23B8F">
        <w:rPr>
          <w:rFonts w:cstheme="minorHAnsi"/>
          <w:sz w:val="24"/>
          <w:szCs w:val="24"/>
        </w:rPr>
        <w:t>Council</w:t>
      </w:r>
      <w:r w:rsidR="0057329F" w:rsidRPr="00D23B8F">
        <w:rPr>
          <w:rFonts w:cstheme="minorHAnsi"/>
          <w:sz w:val="24"/>
          <w:szCs w:val="24"/>
        </w:rPr>
        <w:t xml:space="preserve"> </w:t>
      </w:r>
      <w:r w:rsidR="005F16BF" w:rsidRPr="00D23B8F">
        <w:rPr>
          <w:rFonts w:cstheme="minorHAnsi"/>
          <w:sz w:val="24"/>
          <w:szCs w:val="24"/>
        </w:rPr>
        <w:t>2012</w:t>
      </w:r>
      <w:r w:rsidR="000840A9">
        <w:rPr>
          <w:rFonts w:cstheme="minorHAnsi"/>
          <w:sz w:val="24"/>
          <w:szCs w:val="24"/>
        </w:rPr>
        <w:t xml:space="preserve">: </w:t>
      </w:r>
      <w:r w:rsidR="000F79FC" w:rsidRPr="00D23B8F">
        <w:rPr>
          <w:rFonts w:cstheme="minorHAnsi"/>
          <w:sz w:val="24"/>
          <w:szCs w:val="24"/>
        </w:rPr>
        <w:t>69</w:t>
      </w:r>
      <w:r w:rsidR="00D45F72" w:rsidRPr="00D23B8F">
        <w:rPr>
          <w:rFonts w:cstheme="minorHAnsi"/>
          <w:sz w:val="24"/>
          <w:szCs w:val="24"/>
        </w:rPr>
        <w:t>)</w:t>
      </w:r>
      <w:r w:rsidR="009C4FA5" w:rsidRPr="00D23B8F">
        <w:rPr>
          <w:rFonts w:cstheme="minorHAnsi"/>
          <w:sz w:val="24"/>
          <w:szCs w:val="24"/>
        </w:rPr>
        <w:t xml:space="preserve">.  </w:t>
      </w:r>
      <w:r w:rsidR="00457538" w:rsidRPr="00D23B8F">
        <w:rPr>
          <w:rFonts w:cstheme="minorHAnsi"/>
          <w:sz w:val="24"/>
          <w:szCs w:val="24"/>
        </w:rPr>
        <w:t>For example, a</w:t>
      </w:r>
      <w:r w:rsidRPr="00D23B8F">
        <w:rPr>
          <w:rFonts w:cstheme="minorHAnsi"/>
          <w:sz w:val="24"/>
          <w:szCs w:val="24"/>
        </w:rPr>
        <w:t xml:space="preserve">nalysis of </w:t>
      </w:r>
      <w:r w:rsidRPr="00D23B8F">
        <w:rPr>
          <w:rFonts w:cstheme="minorHAnsi"/>
          <w:noProof/>
          <w:sz w:val="24"/>
          <w:szCs w:val="24"/>
        </w:rPr>
        <w:t>the Australian Government</w:t>
      </w:r>
      <w:r w:rsidR="00551F83" w:rsidRPr="00D23B8F">
        <w:rPr>
          <w:rFonts w:cstheme="minorHAnsi"/>
          <w:noProof/>
          <w:sz w:val="24"/>
          <w:szCs w:val="24"/>
        </w:rPr>
        <w:t>’s</w:t>
      </w:r>
      <w:r w:rsidRPr="00D23B8F">
        <w:rPr>
          <w:rFonts w:cstheme="minorHAnsi"/>
          <w:noProof/>
          <w:sz w:val="24"/>
          <w:szCs w:val="24"/>
        </w:rPr>
        <w:t xml:space="preserve"> higher education provider </w:t>
      </w:r>
      <w:r w:rsidR="009C4FA5" w:rsidRPr="00D23B8F">
        <w:rPr>
          <w:rFonts w:cstheme="minorHAnsi"/>
          <w:noProof/>
          <w:sz w:val="24"/>
          <w:szCs w:val="24"/>
        </w:rPr>
        <w:t xml:space="preserve">of </w:t>
      </w:r>
      <w:r w:rsidRPr="00D23B8F">
        <w:rPr>
          <w:rFonts w:cstheme="minorHAnsi"/>
          <w:noProof/>
          <w:sz w:val="24"/>
          <w:szCs w:val="24"/>
        </w:rPr>
        <w:t>undergraduate access and attainment statistics</w:t>
      </w:r>
      <w:r w:rsidR="009C4FA5" w:rsidRPr="00D23B8F">
        <w:rPr>
          <w:rFonts w:cstheme="minorHAnsi"/>
          <w:noProof/>
          <w:sz w:val="24"/>
          <w:szCs w:val="24"/>
        </w:rPr>
        <w:t>,</w:t>
      </w:r>
      <w:r w:rsidRPr="00D23B8F">
        <w:rPr>
          <w:rFonts w:cstheme="minorHAnsi"/>
          <w:noProof/>
          <w:sz w:val="24"/>
          <w:szCs w:val="24"/>
        </w:rPr>
        <w:t xml:space="preserve"> </w:t>
      </w:r>
      <w:r w:rsidR="005F16BF" w:rsidRPr="00D23B8F">
        <w:rPr>
          <w:rFonts w:cstheme="minorHAnsi"/>
          <w:sz w:val="24"/>
          <w:szCs w:val="24"/>
        </w:rPr>
        <w:t>reveals</w:t>
      </w:r>
      <w:r w:rsidRPr="00D23B8F">
        <w:rPr>
          <w:rFonts w:cstheme="minorHAnsi"/>
          <w:sz w:val="24"/>
          <w:szCs w:val="24"/>
        </w:rPr>
        <w:t xml:space="preserve"> </w:t>
      </w:r>
      <w:r w:rsidRPr="00D23B8F">
        <w:rPr>
          <w:rFonts w:cstheme="minorHAnsi"/>
          <w:noProof/>
          <w:sz w:val="24"/>
          <w:szCs w:val="24"/>
        </w:rPr>
        <w:t>different outcomes for</w:t>
      </w:r>
      <w:r w:rsidRPr="00D23B8F">
        <w:rPr>
          <w:rFonts w:cstheme="minorHAnsi"/>
          <w:sz w:val="24"/>
          <w:szCs w:val="24"/>
        </w:rPr>
        <w:t xml:space="preserve"> a</w:t>
      </w:r>
      <w:r w:rsidRPr="00D23B8F">
        <w:rPr>
          <w:rFonts w:cstheme="minorHAnsi"/>
          <w:noProof/>
          <w:sz w:val="24"/>
          <w:szCs w:val="24"/>
        </w:rPr>
        <w:t xml:space="preserve"> </w:t>
      </w:r>
      <w:r w:rsidR="00D45F72" w:rsidRPr="00D23B8F">
        <w:rPr>
          <w:rFonts w:cstheme="minorHAnsi"/>
          <w:noProof/>
          <w:sz w:val="24"/>
          <w:szCs w:val="24"/>
        </w:rPr>
        <w:t>population-</w:t>
      </w:r>
      <w:r w:rsidRPr="00D23B8F">
        <w:rPr>
          <w:rFonts w:cstheme="minorHAnsi"/>
          <w:noProof/>
          <w:sz w:val="24"/>
          <w:szCs w:val="24"/>
        </w:rPr>
        <w:t xml:space="preserve">parity </w:t>
      </w:r>
      <w:r w:rsidR="005F16BF" w:rsidRPr="00D23B8F">
        <w:rPr>
          <w:rFonts w:cstheme="minorHAnsi"/>
          <w:noProof/>
          <w:sz w:val="24"/>
          <w:szCs w:val="24"/>
        </w:rPr>
        <w:t>model at the state level compared to</w:t>
      </w:r>
      <w:r w:rsidRPr="00D23B8F">
        <w:rPr>
          <w:rFonts w:cstheme="minorHAnsi"/>
          <w:noProof/>
          <w:sz w:val="24"/>
          <w:szCs w:val="24"/>
        </w:rPr>
        <w:t xml:space="preserve"> a national </w:t>
      </w:r>
      <w:r w:rsidR="00D45F72" w:rsidRPr="00D23B8F">
        <w:rPr>
          <w:rFonts w:cstheme="minorHAnsi"/>
          <w:noProof/>
          <w:sz w:val="24"/>
          <w:szCs w:val="24"/>
        </w:rPr>
        <w:t>population-</w:t>
      </w:r>
      <w:r w:rsidRPr="00D23B8F">
        <w:rPr>
          <w:rFonts w:cstheme="minorHAnsi"/>
          <w:noProof/>
          <w:sz w:val="24"/>
          <w:szCs w:val="24"/>
        </w:rPr>
        <w:t xml:space="preserve">parity model.  </w:t>
      </w:r>
    </w:p>
    <w:p w14:paraId="0107F877" w14:textId="77777777" w:rsidR="0013531B" w:rsidRPr="00D23B8F" w:rsidRDefault="0013531B" w:rsidP="008B1F03">
      <w:pPr>
        <w:spacing w:after="0" w:line="480" w:lineRule="auto"/>
        <w:rPr>
          <w:rFonts w:cstheme="minorHAnsi"/>
          <w:b/>
          <w:i/>
          <w:sz w:val="24"/>
          <w:szCs w:val="24"/>
        </w:rPr>
      </w:pPr>
    </w:p>
    <w:p w14:paraId="29D3A055" w14:textId="77777777" w:rsidR="00523198" w:rsidRPr="00D23B8F" w:rsidRDefault="00551F83" w:rsidP="008B1F03">
      <w:pPr>
        <w:spacing w:after="0" w:line="480" w:lineRule="auto"/>
        <w:rPr>
          <w:rFonts w:cstheme="minorHAnsi"/>
          <w:sz w:val="24"/>
          <w:szCs w:val="24"/>
        </w:rPr>
      </w:pPr>
      <w:r w:rsidRPr="00D23B8F">
        <w:rPr>
          <w:rFonts w:cstheme="minorHAnsi"/>
          <w:sz w:val="24"/>
          <w:szCs w:val="24"/>
        </w:rPr>
        <w:lastRenderedPageBreak/>
        <w:t>One other</w:t>
      </w:r>
      <w:r w:rsidR="0013531B" w:rsidRPr="00D23B8F">
        <w:rPr>
          <w:rFonts w:cstheme="minorHAnsi"/>
          <w:sz w:val="24"/>
          <w:szCs w:val="24"/>
        </w:rPr>
        <w:t xml:space="preserve"> source of frustration for users </w:t>
      </w:r>
      <w:r w:rsidRPr="00D23B8F">
        <w:rPr>
          <w:rFonts w:cstheme="minorHAnsi"/>
          <w:sz w:val="24"/>
          <w:szCs w:val="24"/>
        </w:rPr>
        <w:t xml:space="preserve">is </w:t>
      </w:r>
      <w:r w:rsidR="0013531B" w:rsidRPr="00D23B8F">
        <w:rPr>
          <w:rFonts w:cstheme="minorHAnsi"/>
          <w:sz w:val="24"/>
          <w:szCs w:val="24"/>
        </w:rPr>
        <w:t xml:space="preserve">the changes in classification systems from </w:t>
      </w:r>
      <w:r w:rsidR="009F1E6E" w:rsidRPr="00D23B8F">
        <w:rPr>
          <w:rFonts w:cstheme="minorHAnsi"/>
          <w:sz w:val="24"/>
          <w:szCs w:val="24"/>
        </w:rPr>
        <w:t>census</w:t>
      </w:r>
      <w:r w:rsidR="0013531B" w:rsidRPr="00D23B8F">
        <w:rPr>
          <w:rFonts w:cstheme="minorHAnsi"/>
          <w:sz w:val="24"/>
          <w:szCs w:val="24"/>
        </w:rPr>
        <w:t xml:space="preserve"> to </w:t>
      </w:r>
      <w:r w:rsidR="009F1E6E" w:rsidRPr="00D23B8F">
        <w:rPr>
          <w:rFonts w:cstheme="minorHAnsi"/>
          <w:sz w:val="24"/>
          <w:szCs w:val="24"/>
        </w:rPr>
        <w:t>census</w:t>
      </w:r>
      <w:r w:rsidR="003A3EB5" w:rsidRPr="00D23B8F">
        <w:rPr>
          <w:rFonts w:cstheme="minorHAnsi"/>
          <w:sz w:val="24"/>
          <w:szCs w:val="24"/>
        </w:rPr>
        <w:t xml:space="preserve"> </w:t>
      </w:r>
      <w:r w:rsidR="00824541" w:rsidRPr="00D23B8F">
        <w:rPr>
          <w:rFonts w:cstheme="minorHAnsi"/>
          <w:sz w:val="24"/>
          <w:szCs w:val="24"/>
        </w:rPr>
        <w:t>(ABS 2013</w:t>
      </w:r>
      <w:r w:rsidR="000840A9">
        <w:rPr>
          <w:rFonts w:cstheme="minorHAnsi"/>
          <w:sz w:val="24"/>
          <w:szCs w:val="24"/>
        </w:rPr>
        <w:t>:</w:t>
      </w:r>
      <w:r w:rsidR="00824541" w:rsidRPr="00D23B8F">
        <w:rPr>
          <w:rFonts w:cstheme="minorHAnsi"/>
          <w:sz w:val="24"/>
          <w:szCs w:val="24"/>
        </w:rPr>
        <w:t xml:space="preserve"> section 7).</w:t>
      </w:r>
      <w:r w:rsidR="0013531B" w:rsidRPr="00D23B8F">
        <w:rPr>
          <w:rFonts w:cstheme="minorHAnsi"/>
          <w:sz w:val="24"/>
          <w:szCs w:val="24"/>
        </w:rPr>
        <w:t xml:space="preserve">  This means that there is an inevitable break in any </w:t>
      </w:r>
      <w:r w:rsidR="00D45F72" w:rsidRPr="00D23B8F">
        <w:rPr>
          <w:rFonts w:cstheme="minorHAnsi"/>
          <w:sz w:val="24"/>
          <w:szCs w:val="24"/>
        </w:rPr>
        <w:t>time-</w:t>
      </w:r>
      <w:r w:rsidR="0013531B" w:rsidRPr="00D23B8F">
        <w:rPr>
          <w:rFonts w:cstheme="minorHAnsi"/>
          <w:sz w:val="24"/>
          <w:szCs w:val="24"/>
        </w:rPr>
        <w:t xml:space="preserve">series analyses.  </w:t>
      </w:r>
      <w:r w:rsidR="002F2B55" w:rsidRPr="00D23B8F">
        <w:rPr>
          <w:rFonts w:cstheme="minorHAnsi"/>
          <w:sz w:val="24"/>
          <w:szCs w:val="24"/>
        </w:rPr>
        <w:t>For example, c</w:t>
      </w:r>
      <w:r w:rsidR="0013531B" w:rsidRPr="00D23B8F">
        <w:rPr>
          <w:rFonts w:cstheme="minorHAnsi"/>
          <w:sz w:val="24"/>
          <w:szCs w:val="24"/>
        </w:rPr>
        <w:t>lassification systems have changed from 2006 to 2011 including occupations, industrial, cultural</w:t>
      </w:r>
      <w:r w:rsidR="0057329F" w:rsidRPr="00D23B8F">
        <w:rPr>
          <w:rFonts w:cstheme="minorHAnsi"/>
          <w:sz w:val="24"/>
          <w:szCs w:val="24"/>
        </w:rPr>
        <w:t xml:space="preserve"> and </w:t>
      </w:r>
      <w:r w:rsidR="0013531B" w:rsidRPr="00D23B8F">
        <w:rPr>
          <w:rFonts w:cstheme="minorHAnsi"/>
          <w:sz w:val="24"/>
          <w:szCs w:val="24"/>
        </w:rPr>
        <w:t xml:space="preserve">ethnic groups, language, religious groups and countries.  A final limitation of the </w:t>
      </w:r>
      <w:r w:rsidR="009F1E6E" w:rsidRPr="00D23B8F">
        <w:rPr>
          <w:rFonts w:cstheme="minorHAnsi"/>
          <w:sz w:val="24"/>
          <w:szCs w:val="24"/>
        </w:rPr>
        <w:t>census</w:t>
      </w:r>
      <w:r w:rsidR="0013531B" w:rsidRPr="00D23B8F">
        <w:rPr>
          <w:rFonts w:cstheme="minorHAnsi"/>
          <w:sz w:val="24"/>
          <w:szCs w:val="24"/>
        </w:rPr>
        <w:t xml:space="preserve"> </w:t>
      </w:r>
      <w:r w:rsidR="0013531B" w:rsidRPr="00D23B8F">
        <w:rPr>
          <w:rFonts w:cstheme="minorHAnsi"/>
          <w:sz w:val="24"/>
          <w:szCs w:val="24"/>
        </w:rPr>
        <w:lastRenderedPageBreak/>
        <w:t xml:space="preserve">data is the lag between </w:t>
      </w:r>
      <w:r w:rsidR="009F1E6E" w:rsidRPr="00D23B8F">
        <w:rPr>
          <w:rFonts w:cstheme="minorHAnsi"/>
          <w:sz w:val="24"/>
          <w:szCs w:val="24"/>
        </w:rPr>
        <w:t>census</w:t>
      </w:r>
      <w:r w:rsidR="0013531B" w:rsidRPr="00D23B8F">
        <w:rPr>
          <w:rFonts w:cstheme="minorHAnsi"/>
          <w:sz w:val="24"/>
          <w:szCs w:val="24"/>
        </w:rPr>
        <w:t xml:space="preserve"> dates and data releases.  In a sense all these limitations are inevitable</w:t>
      </w:r>
      <w:r w:rsidR="00457538" w:rsidRPr="00D23B8F">
        <w:rPr>
          <w:rFonts w:cstheme="minorHAnsi"/>
          <w:sz w:val="24"/>
          <w:szCs w:val="24"/>
        </w:rPr>
        <w:t xml:space="preserve"> and</w:t>
      </w:r>
      <w:r w:rsidR="0013531B" w:rsidRPr="00D23B8F">
        <w:rPr>
          <w:rFonts w:cstheme="minorHAnsi"/>
          <w:sz w:val="24"/>
          <w:szCs w:val="24"/>
        </w:rPr>
        <w:t xml:space="preserve"> </w:t>
      </w:r>
      <w:r w:rsidR="00457538" w:rsidRPr="00D23B8F">
        <w:rPr>
          <w:rFonts w:cstheme="minorHAnsi"/>
          <w:sz w:val="24"/>
          <w:szCs w:val="24"/>
        </w:rPr>
        <w:t xml:space="preserve">the </w:t>
      </w:r>
      <w:r w:rsidR="0013531B" w:rsidRPr="00D23B8F">
        <w:rPr>
          <w:rFonts w:cstheme="minorHAnsi"/>
          <w:sz w:val="24"/>
          <w:szCs w:val="24"/>
        </w:rPr>
        <w:t>ABS has an array of products and services designed to streamline access and suitability of data (</w:t>
      </w:r>
      <w:hyperlink r:id="rId8" w:history="1">
        <w:r w:rsidR="0013531B" w:rsidRPr="00D23B8F">
          <w:rPr>
            <w:rStyle w:val="Hyperlink"/>
            <w:rFonts w:cstheme="minorHAnsi"/>
            <w:sz w:val="24"/>
            <w:szCs w:val="24"/>
          </w:rPr>
          <w:t>www.abs.gov.au</w:t>
        </w:r>
      </w:hyperlink>
      <w:r w:rsidR="005F16BF" w:rsidRPr="00D23B8F">
        <w:rPr>
          <w:rFonts w:cstheme="minorHAnsi"/>
          <w:sz w:val="24"/>
          <w:szCs w:val="24"/>
        </w:rPr>
        <w:t>).  So the task then</w:t>
      </w:r>
      <w:r w:rsidR="0013531B" w:rsidRPr="00D23B8F">
        <w:rPr>
          <w:rFonts w:cstheme="minorHAnsi"/>
          <w:sz w:val="24"/>
          <w:szCs w:val="24"/>
        </w:rPr>
        <w:t xml:space="preserve"> is perhaps </w:t>
      </w:r>
      <w:r w:rsidR="002F2B55" w:rsidRPr="00D23B8F">
        <w:rPr>
          <w:rFonts w:cstheme="minorHAnsi"/>
          <w:sz w:val="24"/>
          <w:szCs w:val="24"/>
        </w:rPr>
        <w:t xml:space="preserve">to </w:t>
      </w:r>
      <w:r w:rsidR="0013531B" w:rsidRPr="00D23B8F">
        <w:rPr>
          <w:rFonts w:cstheme="minorHAnsi"/>
          <w:sz w:val="24"/>
          <w:szCs w:val="24"/>
        </w:rPr>
        <w:t>minimise</w:t>
      </w:r>
      <w:r w:rsidR="00457538" w:rsidRPr="00D23B8F">
        <w:rPr>
          <w:rFonts w:cstheme="minorHAnsi"/>
          <w:sz w:val="24"/>
          <w:szCs w:val="24"/>
        </w:rPr>
        <w:t>, rather than eliminate data limitations</w:t>
      </w:r>
      <w:r w:rsidR="0013531B" w:rsidRPr="00D23B8F">
        <w:rPr>
          <w:rFonts w:cstheme="minorHAnsi"/>
          <w:sz w:val="24"/>
          <w:szCs w:val="24"/>
        </w:rPr>
        <w:t xml:space="preserve"> and better understand the</w:t>
      </w:r>
      <w:r w:rsidR="00D45F72" w:rsidRPr="00D23B8F">
        <w:rPr>
          <w:rFonts w:cstheme="minorHAnsi"/>
          <w:sz w:val="24"/>
          <w:szCs w:val="24"/>
        </w:rPr>
        <w:t>ir</w:t>
      </w:r>
      <w:r w:rsidR="0013531B" w:rsidRPr="00D23B8F">
        <w:rPr>
          <w:rFonts w:cstheme="minorHAnsi"/>
          <w:sz w:val="24"/>
          <w:szCs w:val="24"/>
        </w:rPr>
        <w:t xml:space="preserve"> impact on quality decision and policy making.</w:t>
      </w:r>
      <w:r w:rsidR="0057329F" w:rsidRPr="00D23B8F">
        <w:rPr>
          <w:rFonts w:cstheme="minorHAnsi"/>
          <w:sz w:val="24"/>
          <w:szCs w:val="24"/>
        </w:rPr>
        <w:t xml:space="preserve"> </w:t>
      </w:r>
      <w:r w:rsidR="00457538" w:rsidRPr="00D23B8F">
        <w:rPr>
          <w:rFonts w:cstheme="minorHAnsi"/>
          <w:sz w:val="24"/>
          <w:szCs w:val="24"/>
        </w:rPr>
        <w:t>T</w:t>
      </w:r>
      <w:r w:rsidR="0013531B" w:rsidRPr="00D23B8F">
        <w:rPr>
          <w:rFonts w:cstheme="minorHAnsi"/>
          <w:sz w:val="24"/>
          <w:szCs w:val="24"/>
        </w:rPr>
        <w:t xml:space="preserve">he general issues associated with the </w:t>
      </w:r>
      <w:r w:rsidR="0013531B" w:rsidRPr="00D23B8F">
        <w:rPr>
          <w:rFonts w:cstheme="minorHAnsi"/>
          <w:sz w:val="24"/>
          <w:szCs w:val="24"/>
        </w:rPr>
        <w:lastRenderedPageBreak/>
        <w:t xml:space="preserve">reliability and validity of </w:t>
      </w:r>
      <w:r w:rsidR="009F1E6E" w:rsidRPr="00D23B8F">
        <w:rPr>
          <w:rFonts w:cstheme="minorHAnsi"/>
          <w:sz w:val="24"/>
          <w:szCs w:val="24"/>
        </w:rPr>
        <w:t>census</w:t>
      </w:r>
      <w:r w:rsidR="0013531B" w:rsidRPr="00D23B8F">
        <w:rPr>
          <w:rFonts w:cstheme="minorHAnsi"/>
          <w:sz w:val="24"/>
          <w:szCs w:val="24"/>
        </w:rPr>
        <w:t xml:space="preserve"> data are exacerbated for Aboriginal and Torres Strait Islander peoples (Martin et al</w:t>
      </w:r>
      <w:r w:rsidR="00305FFD" w:rsidRPr="00D23B8F">
        <w:rPr>
          <w:rFonts w:cstheme="minorHAnsi"/>
          <w:sz w:val="24"/>
          <w:szCs w:val="24"/>
        </w:rPr>
        <w:t>.</w:t>
      </w:r>
      <w:r w:rsidR="0013531B" w:rsidRPr="00D23B8F">
        <w:rPr>
          <w:rFonts w:cstheme="minorHAnsi"/>
          <w:sz w:val="24"/>
          <w:szCs w:val="24"/>
        </w:rPr>
        <w:t xml:space="preserve"> 200</w:t>
      </w:r>
      <w:r w:rsidR="000D7AAD" w:rsidRPr="00D23B8F">
        <w:rPr>
          <w:rFonts w:cstheme="minorHAnsi"/>
          <w:sz w:val="24"/>
          <w:szCs w:val="24"/>
        </w:rPr>
        <w:t>4</w:t>
      </w:r>
      <w:r w:rsidR="0013531B" w:rsidRPr="00D23B8F">
        <w:rPr>
          <w:rFonts w:cstheme="minorHAnsi"/>
          <w:sz w:val="24"/>
          <w:szCs w:val="24"/>
        </w:rPr>
        <w:t xml:space="preserve">). </w:t>
      </w:r>
    </w:p>
    <w:p w14:paraId="36BAB213" w14:textId="77777777" w:rsidR="00305FFD" w:rsidRPr="00D23B8F" w:rsidRDefault="00305FFD" w:rsidP="008B1F03">
      <w:pPr>
        <w:spacing w:after="0" w:line="480" w:lineRule="auto"/>
        <w:rPr>
          <w:rFonts w:cstheme="minorHAnsi"/>
          <w:sz w:val="24"/>
          <w:szCs w:val="24"/>
        </w:rPr>
      </w:pPr>
    </w:p>
    <w:p w14:paraId="334E5609" w14:textId="5BA807D3" w:rsidR="00EC5EDF" w:rsidRPr="00D23B8F" w:rsidRDefault="00305FFD" w:rsidP="008B1F03">
      <w:pPr>
        <w:spacing w:after="0" w:line="480" w:lineRule="auto"/>
        <w:rPr>
          <w:rFonts w:cstheme="minorHAnsi"/>
          <w:color w:val="000090"/>
          <w:sz w:val="24"/>
          <w:szCs w:val="24"/>
        </w:rPr>
      </w:pPr>
      <w:r w:rsidRPr="00D23B8F">
        <w:rPr>
          <w:rFonts w:cstheme="minorHAnsi"/>
          <w:sz w:val="24"/>
          <w:szCs w:val="24"/>
        </w:rPr>
        <w:t xml:space="preserve">Evidence of inconsistency and lack of coordination between former departments integrated into </w:t>
      </w:r>
      <w:r w:rsidR="00146C1C" w:rsidRPr="00D23B8F">
        <w:rPr>
          <w:rFonts w:cstheme="minorHAnsi"/>
          <w:sz w:val="24"/>
          <w:szCs w:val="24"/>
        </w:rPr>
        <w:t xml:space="preserve">the Department of Industry, Innovation, Science, Research and Tertiary Education </w:t>
      </w:r>
      <w:r w:rsidRPr="00D23B8F">
        <w:rPr>
          <w:rFonts w:cstheme="minorHAnsi"/>
          <w:sz w:val="24"/>
          <w:szCs w:val="24"/>
        </w:rPr>
        <w:t xml:space="preserve">in </w:t>
      </w:r>
      <w:r w:rsidRPr="00D23B8F">
        <w:rPr>
          <w:rFonts w:cstheme="minorHAnsi"/>
          <w:sz w:val="24"/>
          <w:szCs w:val="24"/>
        </w:rPr>
        <w:lastRenderedPageBreak/>
        <w:t xml:space="preserve">2012 and between other state and commonwealth government agencies has been noted.  Phillips KPA considered this led to </w:t>
      </w:r>
      <w:r w:rsidR="008513A9">
        <w:rPr>
          <w:rFonts w:cstheme="minorHAnsi"/>
          <w:sz w:val="24"/>
          <w:szCs w:val="24"/>
        </w:rPr>
        <w:t>‘</w:t>
      </w:r>
      <w:r w:rsidRPr="00D23B8F">
        <w:rPr>
          <w:rFonts w:cstheme="minorHAnsi"/>
          <w:sz w:val="24"/>
          <w:szCs w:val="24"/>
        </w:rPr>
        <w:t>poor definition and design and multiple reporting of similar information</w:t>
      </w:r>
      <w:r w:rsidR="008513A9">
        <w:rPr>
          <w:rFonts w:cstheme="minorHAnsi"/>
          <w:sz w:val="24"/>
          <w:szCs w:val="24"/>
        </w:rPr>
        <w:t>’</w:t>
      </w:r>
      <w:r w:rsidRPr="00D23B8F">
        <w:rPr>
          <w:rFonts w:cstheme="minorHAnsi"/>
          <w:sz w:val="24"/>
          <w:szCs w:val="24"/>
        </w:rPr>
        <w:t xml:space="preserve"> (2012</w:t>
      </w:r>
      <w:r w:rsidR="000840A9">
        <w:rPr>
          <w:rFonts w:cstheme="minorHAnsi"/>
          <w:sz w:val="24"/>
          <w:szCs w:val="24"/>
        </w:rPr>
        <w:t xml:space="preserve">: </w:t>
      </w:r>
      <w:r w:rsidRPr="00D23B8F">
        <w:rPr>
          <w:rFonts w:cstheme="minorHAnsi"/>
          <w:sz w:val="24"/>
          <w:szCs w:val="24"/>
        </w:rPr>
        <w:t xml:space="preserve">71-72).  </w:t>
      </w:r>
      <w:r w:rsidR="00044F23" w:rsidRPr="00D23B8F">
        <w:rPr>
          <w:rFonts w:cstheme="minorHAnsi"/>
          <w:sz w:val="24"/>
          <w:szCs w:val="24"/>
        </w:rPr>
        <w:t xml:space="preserve">The advent of the National Advisory Group for Higher Education Data and Information (NAGHEDI) </w:t>
      </w:r>
      <w:r w:rsidR="00B3785C" w:rsidRPr="00D23B8F">
        <w:rPr>
          <w:rFonts w:cstheme="minorHAnsi"/>
          <w:sz w:val="24"/>
          <w:szCs w:val="24"/>
        </w:rPr>
        <w:t>wa</w:t>
      </w:r>
      <w:r w:rsidR="00044F23" w:rsidRPr="00D23B8F">
        <w:rPr>
          <w:rFonts w:cstheme="minorHAnsi"/>
          <w:sz w:val="24"/>
          <w:szCs w:val="24"/>
        </w:rPr>
        <w:t xml:space="preserve">s an important step by the </w:t>
      </w:r>
      <w:r w:rsidR="00D9411E" w:rsidRPr="00D23B8F">
        <w:rPr>
          <w:rFonts w:cstheme="minorHAnsi"/>
          <w:sz w:val="24"/>
          <w:szCs w:val="24"/>
        </w:rPr>
        <w:t>Department</w:t>
      </w:r>
      <w:r w:rsidR="00044F23" w:rsidRPr="00D23B8F">
        <w:rPr>
          <w:rFonts w:cstheme="minorHAnsi"/>
          <w:sz w:val="24"/>
          <w:szCs w:val="24"/>
        </w:rPr>
        <w:t xml:space="preserve"> to improve coordination and consistency across </w:t>
      </w:r>
      <w:r w:rsidR="00044F23" w:rsidRPr="00D23B8F">
        <w:rPr>
          <w:rFonts w:cstheme="minorHAnsi"/>
          <w:sz w:val="24"/>
          <w:szCs w:val="24"/>
        </w:rPr>
        <w:lastRenderedPageBreak/>
        <w:t>the sector</w:t>
      </w:r>
      <w:r w:rsidR="00824541" w:rsidRPr="00D23B8F">
        <w:rPr>
          <w:rFonts w:cstheme="minorHAnsi"/>
          <w:sz w:val="24"/>
          <w:szCs w:val="24"/>
        </w:rPr>
        <w:t>, although this group has now been absorbed in</w:t>
      </w:r>
      <w:r w:rsidR="00B3785C" w:rsidRPr="00D23B8F">
        <w:rPr>
          <w:rFonts w:cstheme="minorHAnsi"/>
          <w:sz w:val="24"/>
          <w:szCs w:val="24"/>
        </w:rPr>
        <w:t xml:space="preserve">to the </w:t>
      </w:r>
      <w:r w:rsidR="00CF3138" w:rsidRPr="00D23B8F">
        <w:rPr>
          <w:rFonts w:cstheme="minorHAnsi"/>
          <w:sz w:val="24"/>
        </w:rPr>
        <w:t>TEQSA Advisory Council and replaced by a Higher Education Data Committee (Department of Education</w:t>
      </w:r>
      <w:r w:rsidR="003A3EB5" w:rsidRPr="00D23B8F">
        <w:rPr>
          <w:rFonts w:cstheme="minorHAnsi"/>
          <w:sz w:val="24"/>
          <w:szCs w:val="24"/>
        </w:rPr>
        <w:t xml:space="preserve"> 2013</w:t>
      </w:r>
      <w:r w:rsidR="00B3785C" w:rsidRPr="00D23B8F">
        <w:rPr>
          <w:rFonts w:cstheme="minorHAnsi"/>
          <w:sz w:val="24"/>
          <w:szCs w:val="24"/>
        </w:rPr>
        <w:t>)</w:t>
      </w:r>
      <w:r w:rsidR="00BE4302" w:rsidRPr="00D23B8F">
        <w:rPr>
          <w:rFonts w:cstheme="minorHAnsi"/>
          <w:sz w:val="24"/>
          <w:szCs w:val="24"/>
        </w:rPr>
        <w:t xml:space="preserve"> which is overseeing the current Departmental project creating a national repository for higher education data.</w:t>
      </w:r>
    </w:p>
    <w:p w14:paraId="5F47723B" w14:textId="77777777" w:rsidR="00523198" w:rsidRPr="00D23B8F" w:rsidRDefault="00523198" w:rsidP="008B1F03">
      <w:pPr>
        <w:pStyle w:val="Heading2"/>
        <w:spacing w:line="480" w:lineRule="auto"/>
        <w:rPr>
          <w:rFonts w:asciiTheme="minorHAnsi" w:hAnsiTheme="minorHAnsi" w:cstheme="minorHAnsi"/>
        </w:rPr>
      </w:pPr>
      <w:r w:rsidRPr="00D23B8F">
        <w:rPr>
          <w:rFonts w:asciiTheme="minorHAnsi" w:hAnsiTheme="minorHAnsi" w:cstheme="minorHAnsi"/>
        </w:rPr>
        <w:lastRenderedPageBreak/>
        <w:t>Midstream</w:t>
      </w:r>
    </w:p>
    <w:p w14:paraId="52F62EE7" w14:textId="77777777" w:rsidR="000F79FC" w:rsidRPr="00D23B8F" w:rsidRDefault="00523198" w:rsidP="008B1F03">
      <w:pPr>
        <w:pStyle w:val="Heading3"/>
        <w:spacing w:line="480" w:lineRule="auto"/>
        <w:rPr>
          <w:rFonts w:asciiTheme="minorHAnsi" w:hAnsiTheme="minorHAnsi" w:cstheme="minorHAnsi"/>
        </w:rPr>
      </w:pPr>
      <w:r w:rsidRPr="00D23B8F">
        <w:rPr>
          <w:rFonts w:asciiTheme="minorHAnsi" w:hAnsiTheme="minorHAnsi" w:cstheme="minorHAnsi"/>
        </w:rPr>
        <w:t>Data completeness</w:t>
      </w:r>
    </w:p>
    <w:p w14:paraId="49723C38" w14:textId="77777777" w:rsidR="00F913AE" w:rsidRPr="00D23B8F" w:rsidRDefault="00F913AE" w:rsidP="008B1F03">
      <w:pPr>
        <w:spacing w:line="480" w:lineRule="auto"/>
        <w:rPr>
          <w:rFonts w:cstheme="minorHAnsi"/>
          <w:sz w:val="24"/>
          <w:szCs w:val="24"/>
        </w:rPr>
      </w:pPr>
      <w:r w:rsidRPr="00D23B8F">
        <w:rPr>
          <w:rFonts w:cstheme="minorHAnsi"/>
          <w:sz w:val="24"/>
          <w:szCs w:val="24"/>
        </w:rPr>
        <w:t>Pechenkina and Anderson (2011) have</w:t>
      </w:r>
      <w:r w:rsidR="006D085A" w:rsidRPr="00D23B8F">
        <w:rPr>
          <w:rFonts w:cstheme="minorHAnsi"/>
          <w:sz w:val="24"/>
          <w:szCs w:val="24"/>
        </w:rPr>
        <w:t xml:space="preserve"> noted </w:t>
      </w:r>
      <w:r w:rsidR="004C6574" w:rsidRPr="00D23B8F">
        <w:rPr>
          <w:rFonts w:cstheme="minorHAnsi"/>
          <w:sz w:val="24"/>
          <w:szCs w:val="24"/>
        </w:rPr>
        <w:t xml:space="preserve">that </w:t>
      </w:r>
      <w:r w:rsidR="006D085A" w:rsidRPr="00D23B8F">
        <w:rPr>
          <w:rFonts w:cstheme="minorHAnsi"/>
          <w:sz w:val="24"/>
          <w:szCs w:val="24"/>
        </w:rPr>
        <w:t>data</w:t>
      </w:r>
      <w:r w:rsidRPr="00D23B8F">
        <w:rPr>
          <w:rFonts w:cstheme="minorHAnsi"/>
          <w:sz w:val="24"/>
          <w:szCs w:val="24"/>
        </w:rPr>
        <w:t xml:space="preserve"> relating to Indigenous student characteristics and socioeconomic indicators, were missing or inconsistent for some providers (COAG Reform Council 2012</w:t>
      </w:r>
      <w:r w:rsidR="000840A9">
        <w:rPr>
          <w:rFonts w:cstheme="minorHAnsi"/>
          <w:sz w:val="24"/>
          <w:szCs w:val="24"/>
        </w:rPr>
        <w:t xml:space="preserve">: </w:t>
      </w:r>
      <w:r w:rsidRPr="00D23B8F">
        <w:rPr>
          <w:rFonts w:cstheme="minorHAnsi"/>
          <w:sz w:val="24"/>
          <w:szCs w:val="24"/>
        </w:rPr>
        <w:t>69).</w:t>
      </w:r>
    </w:p>
    <w:p w14:paraId="3E7D0430" w14:textId="77777777" w:rsidR="00D52502" w:rsidRPr="00D23B8F" w:rsidRDefault="001849D0" w:rsidP="008B1F03">
      <w:pPr>
        <w:spacing w:line="480" w:lineRule="auto"/>
        <w:rPr>
          <w:rFonts w:cstheme="minorHAnsi"/>
          <w:sz w:val="24"/>
          <w:szCs w:val="24"/>
        </w:rPr>
      </w:pPr>
      <w:r w:rsidRPr="00D23B8F">
        <w:rPr>
          <w:rFonts w:cstheme="minorHAnsi"/>
          <w:sz w:val="24"/>
          <w:szCs w:val="24"/>
        </w:rPr>
        <w:lastRenderedPageBreak/>
        <w:t>Nakata (20</w:t>
      </w:r>
      <w:r w:rsidR="004B30DC" w:rsidRPr="00D23B8F">
        <w:rPr>
          <w:rFonts w:cstheme="minorHAnsi"/>
          <w:sz w:val="24"/>
          <w:szCs w:val="24"/>
        </w:rPr>
        <w:t>1</w:t>
      </w:r>
      <w:r w:rsidRPr="00D23B8F">
        <w:rPr>
          <w:rFonts w:cstheme="minorHAnsi"/>
          <w:sz w:val="24"/>
          <w:szCs w:val="24"/>
        </w:rPr>
        <w:t xml:space="preserve">3) provides an excellent example of the issue of data completeness in higher education as part of his critiques of the </w:t>
      </w:r>
      <w:r w:rsidR="00E05136" w:rsidRPr="00D23B8F">
        <w:rPr>
          <w:rFonts w:cstheme="minorHAnsi"/>
          <w:sz w:val="24"/>
          <w:szCs w:val="24"/>
        </w:rPr>
        <w:t>politics</w:t>
      </w:r>
      <w:r w:rsidRPr="00D23B8F">
        <w:rPr>
          <w:rFonts w:cstheme="minorHAnsi"/>
          <w:sz w:val="24"/>
          <w:szCs w:val="24"/>
        </w:rPr>
        <w:t xml:space="preserve"> of knowledge and knowledge production in the intercultural space</w:t>
      </w:r>
      <w:r w:rsidR="00E05136" w:rsidRPr="00D23B8F">
        <w:rPr>
          <w:rFonts w:cstheme="minorHAnsi"/>
          <w:sz w:val="24"/>
          <w:szCs w:val="24"/>
        </w:rPr>
        <w:t>.</w:t>
      </w:r>
      <w:r w:rsidR="005345F4" w:rsidRPr="00D23B8F">
        <w:rPr>
          <w:rFonts w:cstheme="minorHAnsi"/>
          <w:sz w:val="24"/>
          <w:szCs w:val="24"/>
        </w:rPr>
        <w:t xml:space="preserve"> </w:t>
      </w:r>
      <w:r w:rsidR="003A5F15" w:rsidRPr="00D23B8F">
        <w:rPr>
          <w:rFonts w:cstheme="minorHAnsi"/>
          <w:sz w:val="24"/>
          <w:szCs w:val="24"/>
        </w:rPr>
        <w:t>He contends that u</w:t>
      </w:r>
      <w:r w:rsidR="00E05136" w:rsidRPr="00D23B8F">
        <w:rPr>
          <w:rFonts w:cstheme="minorHAnsi"/>
          <w:sz w:val="24"/>
          <w:szCs w:val="24"/>
        </w:rPr>
        <w:t xml:space="preserve">ncritical decolonising practices in pursuit of </w:t>
      </w:r>
      <w:r w:rsidR="0096705B" w:rsidRPr="00D23B8F">
        <w:rPr>
          <w:rFonts w:cstheme="minorHAnsi"/>
          <w:sz w:val="24"/>
          <w:szCs w:val="24"/>
        </w:rPr>
        <w:t>self-determination</w:t>
      </w:r>
      <w:r w:rsidR="005F16BF" w:rsidRPr="00D23B8F">
        <w:rPr>
          <w:rFonts w:cstheme="minorHAnsi"/>
          <w:sz w:val="24"/>
          <w:szCs w:val="24"/>
        </w:rPr>
        <w:t xml:space="preserve"> in Indigenous Education Units </w:t>
      </w:r>
      <w:r w:rsidR="00E05136" w:rsidRPr="00D23B8F">
        <w:rPr>
          <w:rFonts w:cstheme="minorHAnsi"/>
          <w:sz w:val="24"/>
          <w:szCs w:val="24"/>
        </w:rPr>
        <w:t xml:space="preserve">leads to the failure of some centres to utilise </w:t>
      </w:r>
      <w:r w:rsidR="004560D3" w:rsidRPr="00D23B8F">
        <w:rPr>
          <w:rFonts w:cstheme="minorHAnsi"/>
          <w:sz w:val="24"/>
          <w:szCs w:val="24"/>
        </w:rPr>
        <w:t>W</w:t>
      </w:r>
      <w:r w:rsidR="00E05136" w:rsidRPr="00D23B8F">
        <w:rPr>
          <w:rFonts w:cstheme="minorHAnsi"/>
          <w:sz w:val="24"/>
          <w:szCs w:val="24"/>
        </w:rPr>
        <w:t xml:space="preserve">estern practices of statistical accounting of </w:t>
      </w:r>
      <w:r w:rsidR="00E05136" w:rsidRPr="00D23B8F">
        <w:rPr>
          <w:rFonts w:cstheme="minorHAnsi"/>
          <w:sz w:val="24"/>
          <w:szCs w:val="24"/>
        </w:rPr>
        <w:lastRenderedPageBreak/>
        <w:t>their student experiences</w:t>
      </w:r>
      <w:r w:rsidR="00A65B2D" w:rsidRPr="00D23B8F">
        <w:rPr>
          <w:rFonts w:cstheme="minorHAnsi"/>
          <w:sz w:val="24"/>
          <w:szCs w:val="24"/>
        </w:rPr>
        <w:t>,</w:t>
      </w:r>
      <w:r w:rsidR="00E05136" w:rsidRPr="00D23B8F">
        <w:rPr>
          <w:rFonts w:cstheme="minorHAnsi"/>
          <w:sz w:val="24"/>
          <w:szCs w:val="24"/>
        </w:rPr>
        <w:t xml:space="preserve"> even at the demographic level.  This failure stymies attempts to fully articulate Indigenous student experiences of higher education.</w:t>
      </w:r>
      <w:r w:rsidR="00C039F3" w:rsidRPr="00D23B8F">
        <w:rPr>
          <w:rFonts w:cstheme="minorHAnsi"/>
          <w:sz w:val="24"/>
          <w:szCs w:val="24"/>
        </w:rPr>
        <w:t xml:space="preserve">  In this failure of</w:t>
      </w:r>
      <w:r w:rsidR="005F16BF" w:rsidRPr="00D23B8F">
        <w:rPr>
          <w:rFonts w:cstheme="minorHAnsi"/>
          <w:sz w:val="24"/>
          <w:szCs w:val="24"/>
        </w:rPr>
        <w:t xml:space="preserve"> data quality</w:t>
      </w:r>
      <w:r w:rsidR="00BD3565" w:rsidRPr="00D23B8F">
        <w:rPr>
          <w:rFonts w:cstheme="minorHAnsi"/>
          <w:sz w:val="24"/>
          <w:szCs w:val="24"/>
        </w:rPr>
        <w:t>,</w:t>
      </w:r>
      <w:r w:rsidR="005F16BF" w:rsidRPr="00D23B8F">
        <w:rPr>
          <w:rFonts w:cstheme="minorHAnsi"/>
          <w:sz w:val="24"/>
          <w:szCs w:val="24"/>
        </w:rPr>
        <w:t xml:space="preserve"> I</w:t>
      </w:r>
      <w:r w:rsidR="00B3785C" w:rsidRPr="00D23B8F">
        <w:rPr>
          <w:rFonts w:cstheme="minorHAnsi"/>
          <w:sz w:val="24"/>
          <w:szCs w:val="24"/>
        </w:rPr>
        <w:t xml:space="preserve">ndigenous </w:t>
      </w:r>
      <w:r w:rsidR="005F16BF" w:rsidRPr="00D23B8F">
        <w:rPr>
          <w:rFonts w:cstheme="minorHAnsi"/>
          <w:sz w:val="24"/>
          <w:szCs w:val="24"/>
        </w:rPr>
        <w:t>E</w:t>
      </w:r>
      <w:r w:rsidR="00B3785C" w:rsidRPr="00D23B8F">
        <w:rPr>
          <w:rFonts w:cstheme="minorHAnsi"/>
          <w:sz w:val="24"/>
          <w:szCs w:val="24"/>
        </w:rPr>
        <w:t xml:space="preserve">ducation </w:t>
      </w:r>
      <w:r w:rsidR="005F16BF" w:rsidRPr="00D23B8F">
        <w:rPr>
          <w:rFonts w:cstheme="minorHAnsi"/>
          <w:sz w:val="24"/>
          <w:szCs w:val="24"/>
        </w:rPr>
        <w:t>U</w:t>
      </w:r>
      <w:r w:rsidR="00B3785C" w:rsidRPr="00D23B8F">
        <w:rPr>
          <w:rFonts w:cstheme="minorHAnsi"/>
          <w:sz w:val="24"/>
          <w:szCs w:val="24"/>
        </w:rPr>
        <w:t>nit</w:t>
      </w:r>
      <w:r w:rsidR="005F16BF" w:rsidRPr="00D23B8F">
        <w:rPr>
          <w:rFonts w:cstheme="minorHAnsi"/>
          <w:sz w:val="24"/>
          <w:szCs w:val="24"/>
        </w:rPr>
        <w:t>s</w:t>
      </w:r>
      <w:r w:rsidR="00C039F3" w:rsidRPr="00D23B8F">
        <w:rPr>
          <w:rFonts w:cstheme="minorHAnsi"/>
          <w:sz w:val="24"/>
          <w:szCs w:val="24"/>
        </w:rPr>
        <w:t xml:space="preserve"> </w:t>
      </w:r>
      <w:r w:rsidR="00C30A1D" w:rsidRPr="00D23B8F">
        <w:rPr>
          <w:rFonts w:cstheme="minorHAnsi"/>
          <w:sz w:val="24"/>
          <w:szCs w:val="24"/>
        </w:rPr>
        <w:t xml:space="preserve">and their leadership may </w:t>
      </w:r>
      <w:r w:rsidR="00C039F3" w:rsidRPr="00D23B8F">
        <w:rPr>
          <w:rFonts w:cstheme="minorHAnsi"/>
          <w:sz w:val="24"/>
          <w:szCs w:val="24"/>
        </w:rPr>
        <w:t xml:space="preserve">become complicit in the reproduction of relative </w:t>
      </w:r>
      <w:r w:rsidR="00C039F3" w:rsidRPr="00D23B8F">
        <w:rPr>
          <w:rFonts w:cstheme="minorHAnsi"/>
          <w:sz w:val="24"/>
          <w:szCs w:val="24"/>
        </w:rPr>
        <w:lastRenderedPageBreak/>
        <w:t>disadvantage for Indigenous students</w:t>
      </w:r>
      <w:r w:rsidR="00C30A1D" w:rsidRPr="00D23B8F">
        <w:rPr>
          <w:rFonts w:cstheme="minorHAnsi"/>
          <w:sz w:val="24"/>
          <w:szCs w:val="24"/>
        </w:rPr>
        <w:t xml:space="preserve"> in the guise of self-determination and decolonising practice</w:t>
      </w:r>
      <w:r w:rsidR="00A65B2D" w:rsidRPr="00D23B8F">
        <w:rPr>
          <w:rFonts w:cstheme="minorHAnsi"/>
          <w:sz w:val="24"/>
          <w:szCs w:val="24"/>
        </w:rPr>
        <w:t>,</w:t>
      </w:r>
      <w:r w:rsidR="00C30A1D" w:rsidRPr="00D23B8F">
        <w:rPr>
          <w:rFonts w:cstheme="minorHAnsi"/>
          <w:sz w:val="24"/>
          <w:szCs w:val="24"/>
        </w:rPr>
        <w:t xml:space="preserve"> </w:t>
      </w:r>
      <w:r w:rsidR="003A5F15" w:rsidRPr="00D23B8F">
        <w:rPr>
          <w:rFonts w:cstheme="minorHAnsi"/>
          <w:sz w:val="24"/>
          <w:szCs w:val="24"/>
        </w:rPr>
        <w:t xml:space="preserve">as </w:t>
      </w:r>
      <w:r w:rsidR="0063472C" w:rsidRPr="00D23B8F">
        <w:rPr>
          <w:rFonts w:cstheme="minorHAnsi"/>
          <w:sz w:val="24"/>
          <w:szCs w:val="24"/>
        </w:rPr>
        <w:t>the deserved funding is not being</w:t>
      </w:r>
      <w:r w:rsidR="003A5F15" w:rsidRPr="00D23B8F">
        <w:rPr>
          <w:rFonts w:cstheme="minorHAnsi"/>
          <w:sz w:val="24"/>
          <w:szCs w:val="24"/>
        </w:rPr>
        <w:t xml:space="preserve"> attracted </w:t>
      </w:r>
      <w:r w:rsidR="00C30A1D" w:rsidRPr="00D23B8F">
        <w:rPr>
          <w:rFonts w:cstheme="minorHAnsi"/>
          <w:sz w:val="24"/>
          <w:szCs w:val="24"/>
        </w:rPr>
        <w:t>(Nakata 2013)</w:t>
      </w:r>
      <w:r w:rsidR="00C039F3" w:rsidRPr="00D23B8F">
        <w:rPr>
          <w:rFonts w:cstheme="minorHAnsi"/>
          <w:sz w:val="24"/>
          <w:szCs w:val="24"/>
        </w:rPr>
        <w:t>.</w:t>
      </w:r>
    </w:p>
    <w:p w14:paraId="5D168917" w14:textId="77777777" w:rsidR="00F2359D" w:rsidRPr="00D23B8F" w:rsidRDefault="003A7083" w:rsidP="008B1F03">
      <w:pPr>
        <w:spacing w:line="480" w:lineRule="auto"/>
        <w:rPr>
          <w:rFonts w:cstheme="minorHAnsi"/>
          <w:sz w:val="24"/>
          <w:szCs w:val="24"/>
        </w:rPr>
      </w:pPr>
      <w:r w:rsidRPr="00D23B8F">
        <w:rPr>
          <w:rFonts w:cstheme="minorHAnsi"/>
          <w:sz w:val="24"/>
          <w:szCs w:val="24"/>
        </w:rPr>
        <w:t>Self-identification is crucial to data completeness and has been a vexing issue for many jurisdictions</w:t>
      </w:r>
      <w:r w:rsidR="003A3EB5" w:rsidRPr="00D23B8F">
        <w:rPr>
          <w:rFonts w:cstheme="minorHAnsi"/>
          <w:sz w:val="24"/>
          <w:szCs w:val="24"/>
        </w:rPr>
        <w:t>,</w:t>
      </w:r>
      <w:r w:rsidRPr="00D23B8F">
        <w:rPr>
          <w:rFonts w:cstheme="minorHAnsi"/>
          <w:sz w:val="24"/>
          <w:szCs w:val="24"/>
        </w:rPr>
        <w:t xml:space="preserve"> including higher education.  Reliable and</w:t>
      </w:r>
      <w:r w:rsidR="005F16BF" w:rsidRPr="00D23B8F">
        <w:rPr>
          <w:rFonts w:cstheme="minorHAnsi"/>
          <w:sz w:val="24"/>
          <w:szCs w:val="24"/>
        </w:rPr>
        <w:t xml:space="preserve"> valid data and statistics in hig</w:t>
      </w:r>
      <w:r w:rsidRPr="00D23B8F">
        <w:rPr>
          <w:rFonts w:cstheme="minorHAnsi"/>
          <w:sz w:val="24"/>
          <w:szCs w:val="24"/>
        </w:rPr>
        <w:t xml:space="preserve">her education depend on </w:t>
      </w:r>
      <w:r w:rsidR="00163F06" w:rsidRPr="00D23B8F">
        <w:rPr>
          <w:rFonts w:cstheme="minorHAnsi"/>
          <w:sz w:val="24"/>
          <w:szCs w:val="24"/>
        </w:rPr>
        <w:t xml:space="preserve">Aboriginal or Torres Strait Islander </w:t>
      </w:r>
      <w:r w:rsidR="00163F06" w:rsidRPr="00D23B8F">
        <w:rPr>
          <w:rFonts w:cstheme="minorHAnsi"/>
          <w:sz w:val="24"/>
          <w:szCs w:val="24"/>
        </w:rPr>
        <w:lastRenderedPageBreak/>
        <w:t xml:space="preserve">students’ </w:t>
      </w:r>
      <w:r w:rsidRPr="00D23B8F">
        <w:rPr>
          <w:rFonts w:cstheme="minorHAnsi"/>
          <w:sz w:val="24"/>
          <w:szCs w:val="24"/>
        </w:rPr>
        <w:t xml:space="preserve">self-identification at the time of </w:t>
      </w:r>
      <w:r w:rsidR="00B3785C" w:rsidRPr="00D23B8F">
        <w:rPr>
          <w:rFonts w:cstheme="minorHAnsi"/>
          <w:sz w:val="24"/>
          <w:szCs w:val="24"/>
        </w:rPr>
        <w:t>enrolment</w:t>
      </w:r>
      <w:r w:rsidRPr="00D23B8F">
        <w:rPr>
          <w:rFonts w:cstheme="minorHAnsi"/>
          <w:sz w:val="24"/>
          <w:szCs w:val="24"/>
        </w:rPr>
        <w:t xml:space="preserve">, and therefore are almost certainly an underestimation given that some students choose not to identify for </w:t>
      </w:r>
      <w:r w:rsidR="001169A2" w:rsidRPr="00D23B8F">
        <w:rPr>
          <w:rFonts w:cstheme="minorHAnsi"/>
          <w:sz w:val="24"/>
          <w:szCs w:val="24"/>
        </w:rPr>
        <w:t xml:space="preserve">a number of </w:t>
      </w:r>
      <w:r w:rsidR="004C2215" w:rsidRPr="00D23B8F">
        <w:rPr>
          <w:rFonts w:cstheme="minorHAnsi"/>
          <w:sz w:val="24"/>
          <w:szCs w:val="24"/>
        </w:rPr>
        <w:t>reasons</w:t>
      </w:r>
      <w:r w:rsidRPr="00D23B8F">
        <w:rPr>
          <w:rFonts w:cstheme="minorHAnsi"/>
          <w:sz w:val="24"/>
          <w:szCs w:val="24"/>
        </w:rPr>
        <w:t xml:space="preserve">. </w:t>
      </w:r>
      <w:r w:rsidR="007E1BBE" w:rsidRPr="00D23B8F">
        <w:rPr>
          <w:rFonts w:cstheme="minorHAnsi"/>
          <w:sz w:val="24"/>
          <w:szCs w:val="24"/>
        </w:rPr>
        <w:t xml:space="preserve"> </w:t>
      </w:r>
      <w:r w:rsidR="00F913AE" w:rsidRPr="00D23B8F">
        <w:rPr>
          <w:rFonts w:cstheme="minorHAnsi"/>
          <w:sz w:val="24"/>
          <w:szCs w:val="24"/>
        </w:rPr>
        <w:t xml:space="preserve">Further, </w:t>
      </w:r>
      <w:r w:rsidR="007E1BBE" w:rsidRPr="00D23B8F">
        <w:rPr>
          <w:rFonts w:cstheme="minorHAnsi"/>
          <w:sz w:val="24"/>
          <w:szCs w:val="24"/>
        </w:rPr>
        <w:t>Biddle (2014) points out that the contexts within which self-identification questions are asked vary,</w:t>
      </w:r>
      <w:r w:rsidR="00551F83" w:rsidRPr="00D23B8F">
        <w:rPr>
          <w:rFonts w:cstheme="minorHAnsi"/>
          <w:sz w:val="24"/>
          <w:szCs w:val="24"/>
        </w:rPr>
        <w:t xml:space="preserve"> </w:t>
      </w:r>
      <w:r w:rsidR="007E1BBE" w:rsidRPr="00D23B8F">
        <w:rPr>
          <w:rFonts w:cstheme="minorHAnsi"/>
          <w:sz w:val="24"/>
          <w:szCs w:val="24"/>
        </w:rPr>
        <w:t xml:space="preserve">the implication of this being that </w:t>
      </w:r>
      <w:r w:rsidR="00252A12">
        <w:rPr>
          <w:rFonts w:cstheme="minorHAnsi"/>
          <w:sz w:val="24"/>
          <w:szCs w:val="24"/>
        </w:rPr>
        <w:t>‘</w:t>
      </w:r>
      <w:r w:rsidR="007E1BBE" w:rsidRPr="00D23B8F">
        <w:rPr>
          <w:rFonts w:cstheme="minorHAnsi"/>
          <w:sz w:val="24"/>
          <w:szCs w:val="24"/>
        </w:rPr>
        <w:t>an individual may be rec</w:t>
      </w:r>
      <w:r w:rsidR="007E1BBE" w:rsidRPr="00D23B8F">
        <w:rPr>
          <w:rFonts w:cstheme="minorHAnsi"/>
          <w:sz w:val="24"/>
          <w:szCs w:val="24"/>
        </w:rPr>
        <w:lastRenderedPageBreak/>
        <w:t>orded as having a different Indigenous status across collections or through time, making comparisons quite complex</w:t>
      </w:r>
      <w:r w:rsidR="00252A12">
        <w:rPr>
          <w:rFonts w:cstheme="minorHAnsi"/>
          <w:sz w:val="24"/>
          <w:szCs w:val="24"/>
        </w:rPr>
        <w:t>’</w:t>
      </w:r>
      <w:r w:rsidR="00022971" w:rsidRPr="00D23B8F">
        <w:rPr>
          <w:rFonts w:cstheme="minorHAnsi"/>
          <w:sz w:val="24"/>
          <w:szCs w:val="24"/>
        </w:rPr>
        <w:t xml:space="preserve"> (5)</w:t>
      </w:r>
      <w:r w:rsidR="00DB6835" w:rsidRPr="00D23B8F">
        <w:rPr>
          <w:rFonts w:cstheme="minorHAnsi"/>
          <w:sz w:val="24"/>
          <w:szCs w:val="24"/>
        </w:rPr>
        <w:t>.</w:t>
      </w:r>
      <w:r w:rsidR="00761926" w:rsidRPr="00D23B8F">
        <w:rPr>
          <w:rFonts w:cstheme="minorHAnsi"/>
          <w:sz w:val="24"/>
          <w:szCs w:val="24"/>
        </w:rPr>
        <w:t xml:space="preserve"> </w:t>
      </w:r>
    </w:p>
    <w:p w14:paraId="44962786" w14:textId="748EE11C" w:rsidR="00030AB6" w:rsidRPr="00D23B8F" w:rsidRDefault="003A7083" w:rsidP="008B1F03">
      <w:pPr>
        <w:spacing w:line="480" w:lineRule="auto"/>
        <w:rPr>
          <w:rFonts w:cstheme="minorHAnsi"/>
          <w:sz w:val="24"/>
          <w:szCs w:val="24"/>
        </w:rPr>
      </w:pPr>
      <w:r w:rsidRPr="00D23B8F">
        <w:rPr>
          <w:rFonts w:cstheme="minorHAnsi"/>
          <w:sz w:val="24"/>
          <w:szCs w:val="24"/>
        </w:rPr>
        <w:t xml:space="preserve">Data completeness </w:t>
      </w:r>
      <w:r w:rsidR="00A95645" w:rsidRPr="00D23B8F">
        <w:rPr>
          <w:rFonts w:cstheme="minorHAnsi"/>
          <w:sz w:val="24"/>
          <w:szCs w:val="24"/>
        </w:rPr>
        <w:t xml:space="preserve">is complicated by the politics of Indigenous identification, </w:t>
      </w:r>
      <w:r w:rsidR="00C86E32" w:rsidRPr="00D23B8F">
        <w:rPr>
          <w:rFonts w:cstheme="minorHAnsi"/>
          <w:sz w:val="24"/>
          <w:szCs w:val="24"/>
        </w:rPr>
        <w:t xml:space="preserve">with </w:t>
      </w:r>
      <w:r w:rsidR="00A95645" w:rsidRPr="00D23B8F">
        <w:rPr>
          <w:rFonts w:cstheme="minorHAnsi"/>
          <w:sz w:val="24"/>
          <w:szCs w:val="24"/>
        </w:rPr>
        <w:t xml:space="preserve">contested and shifting perspectives on who </w:t>
      </w:r>
      <w:r w:rsidR="00565FB0" w:rsidRPr="00D23B8F">
        <w:rPr>
          <w:rFonts w:cstheme="minorHAnsi"/>
          <w:sz w:val="24"/>
          <w:szCs w:val="24"/>
        </w:rPr>
        <w:t>can claim to have</w:t>
      </w:r>
      <w:r w:rsidR="00A95645" w:rsidRPr="00D23B8F">
        <w:rPr>
          <w:rFonts w:cstheme="minorHAnsi"/>
          <w:sz w:val="24"/>
          <w:szCs w:val="24"/>
        </w:rPr>
        <w:t xml:space="preserve"> Indigenous </w:t>
      </w:r>
      <w:r w:rsidR="00565FB0" w:rsidRPr="00D23B8F">
        <w:rPr>
          <w:rFonts w:cstheme="minorHAnsi"/>
          <w:sz w:val="24"/>
          <w:szCs w:val="24"/>
        </w:rPr>
        <w:t xml:space="preserve">heritage </w:t>
      </w:r>
      <w:r w:rsidR="00A95645" w:rsidRPr="00D23B8F">
        <w:rPr>
          <w:rFonts w:cstheme="minorHAnsi"/>
          <w:sz w:val="24"/>
          <w:szCs w:val="24"/>
        </w:rPr>
        <w:t xml:space="preserve">(Wilson </w:t>
      </w:r>
      <w:r w:rsidR="00252A12">
        <w:rPr>
          <w:rFonts w:cstheme="minorHAnsi"/>
          <w:sz w:val="24"/>
          <w:szCs w:val="24"/>
        </w:rPr>
        <w:t>and</w:t>
      </w:r>
      <w:r w:rsidR="00A95645" w:rsidRPr="00D23B8F">
        <w:rPr>
          <w:rFonts w:cstheme="minorHAnsi"/>
          <w:sz w:val="24"/>
          <w:szCs w:val="24"/>
        </w:rPr>
        <w:t xml:space="preserve"> Barnes</w:t>
      </w:r>
      <w:r w:rsidR="00252A12">
        <w:rPr>
          <w:rFonts w:cstheme="minorHAnsi"/>
          <w:sz w:val="24"/>
          <w:szCs w:val="24"/>
        </w:rPr>
        <w:t xml:space="preserve"> </w:t>
      </w:r>
      <w:r w:rsidR="00A95645" w:rsidRPr="00D23B8F">
        <w:rPr>
          <w:rFonts w:cstheme="minorHAnsi"/>
          <w:sz w:val="24"/>
          <w:szCs w:val="24"/>
        </w:rPr>
        <w:t xml:space="preserve">2007).  This </w:t>
      </w:r>
      <w:r w:rsidR="00C770E7" w:rsidRPr="00D23B8F">
        <w:rPr>
          <w:rFonts w:cstheme="minorHAnsi"/>
          <w:sz w:val="24"/>
          <w:szCs w:val="24"/>
        </w:rPr>
        <w:t xml:space="preserve">is </w:t>
      </w:r>
      <w:r w:rsidR="00A95645" w:rsidRPr="00D23B8F">
        <w:rPr>
          <w:rFonts w:cstheme="minorHAnsi"/>
          <w:sz w:val="24"/>
          <w:szCs w:val="24"/>
        </w:rPr>
        <w:t xml:space="preserve">evident in the higher education sector </w:t>
      </w:r>
      <w:r w:rsidR="00A95645" w:rsidRPr="00D23B8F">
        <w:rPr>
          <w:rFonts w:cstheme="minorHAnsi"/>
          <w:sz w:val="24"/>
          <w:szCs w:val="24"/>
        </w:rPr>
        <w:lastRenderedPageBreak/>
        <w:t>particularly in relation to scholarship</w:t>
      </w:r>
      <w:r w:rsidR="00070198">
        <w:rPr>
          <w:rFonts w:cstheme="minorHAnsi"/>
          <w:sz w:val="24"/>
          <w:szCs w:val="24"/>
        </w:rPr>
        <w:t>s</w:t>
      </w:r>
      <w:r w:rsidR="00A95645" w:rsidRPr="00D23B8F">
        <w:rPr>
          <w:rFonts w:cstheme="minorHAnsi"/>
          <w:sz w:val="24"/>
          <w:szCs w:val="24"/>
        </w:rPr>
        <w:t xml:space="preserve"> and benefits </w:t>
      </w:r>
      <w:r w:rsidR="00C770E7" w:rsidRPr="00D23B8F">
        <w:rPr>
          <w:rFonts w:cstheme="minorHAnsi"/>
          <w:sz w:val="24"/>
          <w:szCs w:val="24"/>
        </w:rPr>
        <w:t xml:space="preserve">(Kinnane </w:t>
      </w:r>
      <w:r w:rsidR="00305FFD" w:rsidRPr="00D23B8F">
        <w:rPr>
          <w:rFonts w:cstheme="minorHAnsi"/>
          <w:iCs/>
          <w:sz w:val="24"/>
          <w:szCs w:val="24"/>
        </w:rPr>
        <w:t>et al.</w:t>
      </w:r>
      <w:r w:rsidR="0074200E" w:rsidRPr="00D23B8F">
        <w:rPr>
          <w:rFonts w:cstheme="minorHAnsi"/>
          <w:sz w:val="24"/>
          <w:szCs w:val="24"/>
        </w:rPr>
        <w:t xml:space="preserve"> 2014)</w:t>
      </w:r>
      <w:r w:rsidR="00F37050" w:rsidRPr="00D23B8F">
        <w:rPr>
          <w:rFonts w:cstheme="minorHAnsi"/>
          <w:sz w:val="24"/>
          <w:szCs w:val="24"/>
        </w:rPr>
        <w:t>, and</w:t>
      </w:r>
      <w:r w:rsidR="00A95645" w:rsidRPr="00D23B8F">
        <w:rPr>
          <w:rFonts w:cstheme="minorHAnsi"/>
          <w:sz w:val="24"/>
          <w:szCs w:val="24"/>
        </w:rPr>
        <w:t xml:space="preserve"> also raises the issue of the contextual or circumstantial drivers </w:t>
      </w:r>
      <w:r w:rsidR="009C4FA5" w:rsidRPr="00D23B8F">
        <w:rPr>
          <w:rFonts w:cstheme="minorHAnsi"/>
          <w:sz w:val="24"/>
          <w:szCs w:val="24"/>
        </w:rPr>
        <w:t xml:space="preserve">of whether </w:t>
      </w:r>
      <w:r w:rsidR="00A95645" w:rsidRPr="00D23B8F">
        <w:rPr>
          <w:rFonts w:cstheme="minorHAnsi"/>
          <w:sz w:val="24"/>
          <w:szCs w:val="24"/>
        </w:rPr>
        <w:t>to identify or not.  People may feel comfortable identifying in some circumstances but not in others</w:t>
      </w:r>
      <w:r w:rsidR="00044ACA">
        <w:rPr>
          <w:rFonts w:cstheme="minorHAnsi"/>
          <w:sz w:val="24"/>
          <w:szCs w:val="24"/>
        </w:rPr>
        <w:t>,</w:t>
      </w:r>
      <w:r w:rsidR="00936398" w:rsidRPr="00D23B8F">
        <w:rPr>
          <w:rFonts w:cstheme="minorHAnsi"/>
          <w:sz w:val="24"/>
          <w:szCs w:val="24"/>
        </w:rPr>
        <w:t xml:space="preserve"> for example, for fear of discrimination</w:t>
      </w:r>
      <w:r w:rsidR="009D3FE7" w:rsidRPr="00D23B8F">
        <w:rPr>
          <w:rFonts w:cstheme="minorHAnsi"/>
          <w:sz w:val="24"/>
          <w:szCs w:val="24"/>
        </w:rPr>
        <w:t>, or a lack of trust around how the data may be used</w:t>
      </w:r>
      <w:r w:rsidR="005F16BF" w:rsidRPr="00D23B8F">
        <w:rPr>
          <w:rFonts w:cstheme="minorHAnsi"/>
          <w:sz w:val="24"/>
          <w:szCs w:val="24"/>
        </w:rPr>
        <w:t xml:space="preserve"> (Kinnane </w:t>
      </w:r>
      <w:r w:rsidR="00305FFD" w:rsidRPr="00D23B8F">
        <w:rPr>
          <w:rFonts w:cstheme="minorHAnsi"/>
          <w:iCs/>
          <w:sz w:val="24"/>
          <w:szCs w:val="24"/>
        </w:rPr>
        <w:t>et al.</w:t>
      </w:r>
      <w:r w:rsidR="005F16BF" w:rsidRPr="00D23B8F">
        <w:rPr>
          <w:rFonts w:cstheme="minorHAnsi"/>
          <w:sz w:val="24"/>
          <w:szCs w:val="24"/>
        </w:rPr>
        <w:t xml:space="preserve"> 2014)</w:t>
      </w:r>
      <w:r w:rsidR="00C770E7" w:rsidRPr="00D23B8F">
        <w:rPr>
          <w:rFonts w:cstheme="minorHAnsi"/>
          <w:sz w:val="24"/>
          <w:szCs w:val="24"/>
        </w:rPr>
        <w:t>.</w:t>
      </w:r>
    </w:p>
    <w:p w14:paraId="4F77164C" w14:textId="2FCA34D2" w:rsidR="00072784" w:rsidRPr="00D23B8F" w:rsidRDefault="00072784" w:rsidP="008B1F03">
      <w:pPr>
        <w:pStyle w:val="Heading3"/>
        <w:spacing w:line="480" w:lineRule="auto"/>
        <w:rPr>
          <w:rFonts w:asciiTheme="minorHAnsi" w:hAnsiTheme="minorHAnsi" w:cstheme="minorHAnsi"/>
        </w:rPr>
      </w:pPr>
      <w:r w:rsidRPr="00D23B8F">
        <w:rPr>
          <w:rFonts w:asciiTheme="minorHAnsi" w:hAnsiTheme="minorHAnsi" w:cstheme="minorHAnsi"/>
        </w:rPr>
        <w:lastRenderedPageBreak/>
        <w:t xml:space="preserve">Data collection methods </w:t>
      </w:r>
    </w:p>
    <w:p w14:paraId="269F3A8D" w14:textId="071A0E09" w:rsidR="00C472A1" w:rsidRDefault="00072784" w:rsidP="00044ACA">
      <w:pPr>
        <w:spacing w:line="480" w:lineRule="auto"/>
        <w:rPr>
          <w:rFonts w:ascii="AdvTTec369687" w:hAnsi="AdvTTec369687" w:cs="AdvTTec369687"/>
          <w:color w:val="000000"/>
          <w:sz w:val="23"/>
          <w:szCs w:val="23"/>
        </w:rPr>
      </w:pPr>
      <w:r w:rsidRPr="00D23B8F">
        <w:rPr>
          <w:rFonts w:cstheme="minorHAnsi"/>
          <w:sz w:val="24"/>
          <w:szCs w:val="24"/>
        </w:rPr>
        <w:t xml:space="preserve">The literature </w:t>
      </w:r>
      <w:r w:rsidR="003A7083" w:rsidRPr="00D23B8F">
        <w:rPr>
          <w:rFonts w:cstheme="minorHAnsi"/>
          <w:sz w:val="24"/>
          <w:szCs w:val="24"/>
        </w:rPr>
        <w:t>is replete with</w:t>
      </w:r>
      <w:r w:rsidRPr="00D23B8F">
        <w:rPr>
          <w:rFonts w:cstheme="minorHAnsi"/>
          <w:sz w:val="24"/>
          <w:szCs w:val="24"/>
        </w:rPr>
        <w:t xml:space="preserve"> examples of inappropriate data collection methods</w:t>
      </w:r>
      <w:r w:rsidR="00E17BFB" w:rsidRPr="00D23B8F">
        <w:rPr>
          <w:rFonts w:cstheme="minorHAnsi"/>
          <w:sz w:val="24"/>
          <w:szCs w:val="24"/>
        </w:rPr>
        <w:t xml:space="preserve"> in Indigenous communities</w:t>
      </w:r>
      <w:r w:rsidRPr="00D23B8F">
        <w:rPr>
          <w:rFonts w:cstheme="minorHAnsi"/>
          <w:sz w:val="24"/>
          <w:szCs w:val="24"/>
        </w:rPr>
        <w:t>.  This has led to widespread suspicion and mistrust regarding the motives o</w:t>
      </w:r>
      <w:r w:rsidR="009D3FE7" w:rsidRPr="00D23B8F">
        <w:rPr>
          <w:rFonts w:cstheme="minorHAnsi"/>
          <w:sz w:val="24"/>
          <w:szCs w:val="24"/>
        </w:rPr>
        <w:t>f</w:t>
      </w:r>
      <w:r w:rsidRPr="00D23B8F">
        <w:rPr>
          <w:rFonts w:cstheme="minorHAnsi"/>
          <w:sz w:val="24"/>
          <w:szCs w:val="24"/>
        </w:rPr>
        <w:t xml:space="preserve"> non-Indigenous researchers</w:t>
      </w:r>
      <w:r w:rsidR="00C472A1">
        <w:rPr>
          <w:rFonts w:cstheme="minorHAnsi"/>
          <w:sz w:val="24"/>
          <w:szCs w:val="24"/>
        </w:rPr>
        <w:t xml:space="preserve"> </w:t>
      </w:r>
      <w:r w:rsidR="00C472A1" w:rsidRPr="009A67BE">
        <w:rPr>
          <w:rFonts w:cstheme="minorHAnsi"/>
          <w:sz w:val="24"/>
          <w:szCs w:val="24"/>
        </w:rPr>
        <w:t>(for example,</w:t>
      </w:r>
      <w:r w:rsidR="000A4D46" w:rsidRPr="009A67BE">
        <w:rPr>
          <w:rFonts w:cstheme="minorHAnsi"/>
          <w:sz w:val="24"/>
          <w:szCs w:val="24"/>
        </w:rPr>
        <w:t xml:space="preserve"> Martin 2003;</w:t>
      </w:r>
      <w:r w:rsidR="00C472A1" w:rsidRPr="001D30A0">
        <w:rPr>
          <w:rFonts w:cstheme="minorHAnsi"/>
          <w:sz w:val="24"/>
          <w:szCs w:val="24"/>
        </w:rPr>
        <w:t xml:space="preserve"> </w:t>
      </w:r>
      <w:r w:rsidR="00C472A1" w:rsidRPr="00044ACA">
        <w:rPr>
          <w:rFonts w:cstheme="minorHAnsi"/>
          <w:color w:val="000000"/>
          <w:sz w:val="23"/>
          <w:szCs w:val="23"/>
        </w:rPr>
        <w:t>Walter 2010; Moreton-Robinson 2011; Walter and Andersen 2013; Bodkin-Andrews and Carlson 2016)</w:t>
      </w:r>
      <w:r w:rsidR="00044ACA">
        <w:rPr>
          <w:rFonts w:cstheme="minorHAnsi"/>
          <w:color w:val="000000"/>
          <w:sz w:val="23"/>
          <w:szCs w:val="23"/>
        </w:rPr>
        <w:t>.</w:t>
      </w:r>
    </w:p>
    <w:p w14:paraId="263E2A7B" w14:textId="3AFAD79E" w:rsidR="00072784" w:rsidRPr="00D23B8F" w:rsidRDefault="00072784" w:rsidP="008B1F03">
      <w:pPr>
        <w:spacing w:after="0" w:line="480" w:lineRule="auto"/>
        <w:rPr>
          <w:rFonts w:cstheme="minorHAnsi"/>
          <w:sz w:val="24"/>
          <w:szCs w:val="24"/>
        </w:rPr>
      </w:pPr>
      <w:r w:rsidRPr="00D23B8F">
        <w:rPr>
          <w:rFonts w:cstheme="minorHAnsi"/>
          <w:sz w:val="24"/>
          <w:szCs w:val="24"/>
        </w:rPr>
        <w:lastRenderedPageBreak/>
        <w:t xml:space="preserve">The same is true of the motives of </w:t>
      </w:r>
      <w:r w:rsidR="00AF31CC" w:rsidRPr="00D23B8F">
        <w:rPr>
          <w:rFonts w:cstheme="minorHAnsi"/>
          <w:sz w:val="24"/>
          <w:szCs w:val="24"/>
        </w:rPr>
        <w:t>those who gather data for administrative collections</w:t>
      </w:r>
      <w:r w:rsidRPr="00D23B8F">
        <w:rPr>
          <w:rFonts w:cstheme="minorHAnsi"/>
          <w:sz w:val="24"/>
          <w:szCs w:val="24"/>
        </w:rPr>
        <w:t xml:space="preserve">.  </w:t>
      </w:r>
      <w:r w:rsidR="001C2FC4">
        <w:rPr>
          <w:rFonts w:cstheme="minorHAnsi"/>
          <w:sz w:val="24"/>
          <w:szCs w:val="24"/>
        </w:rPr>
        <w:t>Genuine partnerships</w:t>
      </w:r>
      <w:r w:rsidR="001C2FC4" w:rsidRPr="00D23B8F">
        <w:rPr>
          <w:rFonts w:cstheme="minorHAnsi"/>
          <w:sz w:val="24"/>
          <w:szCs w:val="24"/>
        </w:rPr>
        <w:t xml:space="preserve"> </w:t>
      </w:r>
      <w:r w:rsidRPr="00D23B8F">
        <w:rPr>
          <w:rFonts w:cstheme="minorHAnsi"/>
          <w:sz w:val="24"/>
          <w:szCs w:val="24"/>
        </w:rPr>
        <w:t xml:space="preserve">with Aboriginal and Torres Strait </w:t>
      </w:r>
      <w:r w:rsidR="007706D5">
        <w:rPr>
          <w:rFonts w:cstheme="minorHAnsi"/>
          <w:sz w:val="24"/>
          <w:szCs w:val="24"/>
        </w:rPr>
        <w:t xml:space="preserve">Islander </w:t>
      </w:r>
      <w:r w:rsidRPr="00D23B8F">
        <w:rPr>
          <w:rFonts w:cstheme="minorHAnsi"/>
          <w:sz w:val="24"/>
          <w:szCs w:val="24"/>
        </w:rPr>
        <w:t>communities is essential to gathering quality data</w:t>
      </w:r>
      <w:r w:rsidR="001C2FC4">
        <w:rPr>
          <w:rFonts w:cstheme="minorHAnsi"/>
          <w:sz w:val="24"/>
          <w:szCs w:val="24"/>
        </w:rPr>
        <w:t xml:space="preserve"> (Kukutai and Walter 2015)</w:t>
      </w:r>
      <w:r w:rsidRPr="00D23B8F">
        <w:rPr>
          <w:rFonts w:cstheme="minorHAnsi"/>
          <w:sz w:val="24"/>
          <w:szCs w:val="24"/>
        </w:rPr>
        <w:t xml:space="preserve">. </w:t>
      </w:r>
      <w:r w:rsidR="003A7083" w:rsidRPr="00D23B8F">
        <w:rPr>
          <w:rFonts w:cstheme="minorHAnsi"/>
          <w:sz w:val="24"/>
          <w:szCs w:val="24"/>
        </w:rPr>
        <w:t>In Indigenous contexts</w:t>
      </w:r>
      <w:r w:rsidR="009C4FA5" w:rsidRPr="00D23B8F">
        <w:rPr>
          <w:rFonts w:cstheme="minorHAnsi"/>
          <w:sz w:val="24"/>
          <w:szCs w:val="24"/>
        </w:rPr>
        <w:t>,</w:t>
      </w:r>
      <w:r w:rsidR="003A7083" w:rsidRPr="00D23B8F">
        <w:rPr>
          <w:rFonts w:cstheme="minorHAnsi"/>
          <w:sz w:val="24"/>
          <w:szCs w:val="24"/>
        </w:rPr>
        <w:t xml:space="preserve"> data collection methods and approaches require the building of relationships of trust </w:t>
      </w:r>
      <w:r w:rsidR="003A7083" w:rsidRPr="00D23B8F">
        <w:rPr>
          <w:rFonts w:cstheme="minorHAnsi"/>
          <w:noProof/>
          <w:sz w:val="24"/>
          <w:szCs w:val="24"/>
        </w:rPr>
        <w:t>(</w:t>
      </w:r>
      <w:r w:rsidR="00D9491F" w:rsidRPr="00D23B8F">
        <w:rPr>
          <w:rFonts w:cstheme="minorHAnsi"/>
          <w:sz w:val="24"/>
        </w:rPr>
        <w:t xml:space="preserve">Taylor, Doran, </w:t>
      </w:r>
      <w:r w:rsidR="00D9491F" w:rsidRPr="00D23B8F">
        <w:rPr>
          <w:rFonts w:cstheme="minorHAnsi"/>
          <w:sz w:val="24"/>
        </w:rPr>
        <w:lastRenderedPageBreak/>
        <w:t>Parriman</w:t>
      </w:r>
      <w:r w:rsidR="00252A12">
        <w:rPr>
          <w:rFonts w:cstheme="minorHAnsi"/>
          <w:sz w:val="24"/>
        </w:rPr>
        <w:t xml:space="preserve"> and</w:t>
      </w:r>
      <w:r w:rsidR="00D9491F" w:rsidRPr="00D23B8F">
        <w:rPr>
          <w:rFonts w:cstheme="minorHAnsi"/>
          <w:sz w:val="24"/>
        </w:rPr>
        <w:t xml:space="preserve"> Yu </w:t>
      </w:r>
      <w:r w:rsidR="003A7083" w:rsidRPr="00D23B8F">
        <w:rPr>
          <w:rFonts w:cstheme="minorHAnsi"/>
          <w:noProof/>
          <w:sz w:val="24"/>
          <w:szCs w:val="24"/>
        </w:rPr>
        <w:t>2012)</w:t>
      </w:r>
      <w:r w:rsidR="003A7083" w:rsidRPr="00D23B8F">
        <w:rPr>
          <w:rFonts w:cstheme="minorHAnsi"/>
          <w:sz w:val="24"/>
          <w:szCs w:val="24"/>
        </w:rPr>
        <w:t>, the incorporation of cultural considerations, and the scoping of variations in definitions and terminology across different geographic areas and among</w:t>
      </w:r>
      <w:r w:rsidR="004F1CA6" w:rsidRPr="00D23B8F">
        <w:rPr>
          <w:rFonts w:cstheme="minorHAnsi"/>
          <w:sz w:val="24"/>
          <w:szCs w:val="24"/>
        </w:rPr>
        <w:t>st</w:t>
      </w:r>
      <w:r w:rsidR="003A7083" w:rsidRPr="00D23B8F">
        <w:rPr>
          <w:rFonts w:cstheme="minorHAnsi"/>
          <w:sz w:val="24"/>
          <w:szCs w:val="24"/>
        </w:rPr>
        <w:t xml:space="preserve"> peoples </w:t>
      </w:r>
      <w:r w:rsidR="003A7083" w:rsidRPr="00D23B8F">
        <w:rPr>
          <w:rFonts w:cstheme="minorHAnsi"/>
          <w:noProof/>
          <w:sz w:val="24"/>
          <w:szCs w:val="24"/>
        </w:rPr>
        <w:t xml:space="preserve">(Doyle </w:t>
      </w:r>
      <w:r w:rsidR="00252A12">
        <w:rPr>
          <w:rFonts w:cstheme="minorHAnsi"/>
          <w:noProof/>
          <w:sz w:val="24"/>
          <w:szCs w:val="24"/>
        </w:rPr>
        <w:t>and</w:t>
      </w:r>
      <w:r w:rsidR="00252A12" w:rsidRPr="00D23B8F">
        <w:rPr>
          <w:rFonts w:cstheme="minorHAnsi"/>
          <w:noProof/>
          <w:sz w:val="24"/>
          <w:szCs w:val="24"/>
        </w:rPr>
        <w:t xml:space="preserve"> </w:t>
      </w:r>
      <w:r w:rsidR="003A7083" w:rsidRPr="00D23B8F">
        <w:rPr>
          <w:rFonts w:cstheme="minorHAnsi"/>
          <w:noProof/>
          <w:sz w:val="24"/>
          <w:szCs w:val="24"/>
        </w:rPr>
        <w:t xml:space="preserve">Prout 2012; Martin </w:t>
      </w:r>
      <w:r w:rsidR="003A7083" w:rsidRPr="00D23B8F">
        <w:rPr>
          <w:rFonts w:cstheme="minorHAnsi"/>
          <w:iCs/>
          <w:noProof/>
          <w:sz w:val="24"/>
          <w:szCs w:val="24"/>
        </w:rPr>
        <w:t>et al</w:t>
      </w:r>
      <w:r w:rsidR="003A7083" w:rsidRPr="00D23B8F">
        <w:rPr>
          <w:rFonts w:cstheme="minorHAnsi"/>
          <w:noProof/>
          <w:sz w:val="24"/>
          <w:szCs w:val="24"/>
        </w:rPr>
        <w:t>. 2004)</w:t>
      </w:r>
      <w:r w:rsidR="003A7083" w:rsidRPr="00D23B8F">
        <w:rPr>
          <w:rFonts w:cstheme="minorHAnsi"/>
          <w:sz w:val="24"/>
          <w:szCs w:val="24"/>
        </w:rPr>
        <w:t xml:space="preserve">.  </w:t>
      </w:r>
      <w:r w:rsidRPr="00D23B8F">
        <w:rPr>
          <w:rFonts w:cstheme="minorHAnsi"/>
          <w:sz w:val="24"/>
          <w:szCs w:val="24"/>
        </w:rPr>
        <w:t xml:space="preserve">Developing trust means engaging </w:t>
      </w:r>
      <w:r w:rsidR="00E17BFB" w:rsidRPr="00D23B8F">
        <w:rPr>
          <w:rFonts w:cstheme="minorHAnsi"/>
          <w:sz w:val="24"/>
          <w:szCs w:val="24"/>
        </w:rPr>
        <w:t>i</w:t>
      </w:r>
      <w:r w:rsidRPr="00D23B8F">
        <w:rPr>
          <w:rFonts w:cstheme="minorHAnsi"/>
          <w:sz w:val="24"/>
          <w:szCs w:val="24"/>
        </w:rPr>
        <w:t>n authentic relationship building for the long term</w:t>
      </w:r>
      <w:r w:rsidR="00E17BFB" w:rsidRPr="00D23B8F">
        <w:rPr>
          <w:rFonts w:cstheme="minorHAnsi"/>
          <w:sz w:val="24"/>
          <w:szCs w:val="24"/>
        </w:rPr>
        <w:t>;</w:t>
      </w:r>
      <w:r w:rsidRPr="00D23B8F">
        <w:rPr>
          <w:rFonts w:cstheme="minorHAnsi"/>
          <w:sz w:val="24"/>
          <w:szCs w:val="24"/>
        </w:rPr>
        <w:t xml:space="preserve"> </w:t>
      </w:r>
      <w:r w:rsidR="00E17BFB" w:rsidRPr="00D23B8F">
        <w:rPr>
          <w:rFonts w:cstheme="minorHAnsi"/>
          <w:sz w:val="24"/>
          <w:szCs w:val="24"/>
        </w:rPr>
        <w:t>f</w:t>
      </w:r>
      <w:r w:rsidRPr="00D23B8F">
        <w:rPr>
          <w:rFonts w:cstheme="minorHAnsi"/>
          <w:sz w:val="24"/>
          <w:szCs w:val="24"/>
        </w:rPr>
        <w:t>ly–in</w:t>
      </w:r>
      <w:r w:rsidR="00BD3565" w:rsidRPr="00D23B8F">
        <w:rPr>
          <w:rFonts w:cstheme="minorHAnsi"/>
          <w:sz w:val="24"/>
          <w:szCs w:val="24"/>
        </w:rPr>
        <w:t>,</w:t>
      </w:r>
      <w:r w:rsidRPr="00D23B8F">
        <w:rPr>
          <w:rFonts w:cstheme="minorHAnsi"/>
          <w:sz w:val="24"/>
          <w:szCs w:val="24"/>
        </w:rPr>
        <w:t xml:space="preserve"> fly–out methods will not yield </w:t>
      </w:r>
      <w:r w:rsidRPr="00D23B8F">
        <w:rPr>
          <w:rFonts w:cstheme="minorHAnsi"/>
          <w:sz w:val="24"/>
          <w:szCs w:val="24"/>
        </w:rPr>
        <w:lastRenderedPageBreak/>
        <w:t>optimum results.  Authentic capacity building for local research</w:t>
      </w:r>
      <w:r w:rsidR="009C4FA5" w:rsidRPr="00D23B8F">
        <w:rPr>
          <w:rFonts w:cstheme="minorHAnsi"/>
          <w:sz w:val="24"/>
          <w:szCs w:val="24"/>
        </w:rPr>
        <w:t>-</w:t>
      </w:r>
      <w:r w:rsidRPr="00D23B8F">
        <w:rPr>
          <w:rFonts w:cstheme="minorHAnsi"/>
          <w:sz w:val="24"/>
          <w:szCs w:val="24"/>
        </w:rPr>
        <w:t>based practices is better suited. This was amply demonstrated in a recent demographic survey of Yawuru peop</w:t>
      </w:r>
      <w:r w:rsidR="00425ADA" w:rsidRPr="00D23B8F">
        <w:rPr>
          <w:rFonts w:cstheme="minorHAnsi"/>
          <w:sz w:val="24"/>
          <w:szCs w:val="24"/>
        </w:rPr>
        <w:t>le in the West Kimberley (</w:t>
      </w:r>
      <w:r w:rsidR="00D22C96" w:rsidRPr="00D23B8F">
        <w:rPr>
          <w:rFonts w:cstheme="minorHAnsi"/>
          <w:noProof/>
          <w:sz w:val="24"/>
          <w:szCs w:val="24"/>
        </w:rPr>
        <w:t xml:space="preserve">Taylor </w:t>
      </w:r>
      <w:r w:rsidR="00305FFD" w:rsidRPr="00D23B8F">
        <w:rPr>
          <w:rFonts w:cstheme="minorHAnsi"/>
          <w:noProof/>
          <w:sz w:val="24"/>
          <w:szCs w:val="24"/>
        </w:rPr>
        <w:t>et al.</w:t>
      </w:r>
      <w:r w:rsidR="00D22C96" w:rsidRPr="00D23B8F">
        <w:rPr>
          <w:rFonts w:cstheme="minorHAnsi"/>
          <w:noProof/>
          <w:sz w:val="24"/>
          <w:szCs w:val="24"/>
        </w:rPr>
        <w:t xml:space="preserve"> 2012</w:t>
      </w:r>
      <w:r w:rsidR="00425ADA" w:rsidRPr="00D23B8F">
        <w:rPr>
          <w:rFonts w:cstheme="minorHAnsi"/>
          <w:sz w:val="24"/>
          <w:szCs w:val="24"/>
        </w:rPr>
        <w:t>)</w:t>
      </w:r>
      <w:r w:rsidR="00BD3565" w:rsidRPr="00D23B8F">
        <w:rPr>
          <w:rFonts w:cstheme="minorHAnsi"/>
          <w:sz w:val="24"/>
          <w:szCs w:val="24"/>
        </w:rPr>
        <w:t>,</w:t>
      </w:r>
      <w:r w:rsidR="00425ADA" w:rsidRPr="00D23B8F">
        <w:rPr>
          <w:rFonts w:cstheme="minorHAnsi"/>
          <w:sz w:val="24"/>
          <w:szCs w:val="24"/>
        </w:rPr>
        <w:t xml:space="preserve"> in which the researchers were local community members trained and supported to gather data according to high standards of research practice.  The net result was greater participation and </w:t>
      </w:r>
      <w:r w:rsidR="00425ADA" w:rsidRPr="00D23B8F">
        <w:rPr>
          <w:rFonts w:cstheme="minorHAnsi"/>
          <w:sz w:val="24"/>
          <w:szCs w:val="24"/>
        </w:rPr>
        <w:lastRenderedPageBreak/>
        <w:t xml:space="preserve">significantly enhanced trustworthiness and credibility in the data, and thus </w:t>
      </w:r>
      <w:r w:rsidR="001B1D9D" w:rsidRPr="00D23B8F">
        <w:rPr>
          <w:rFonts w:cstheme="minorHAnsi"/>
          <w:sz w:val="24"/>
          <w:szCs w:val="24"/>
        </w:rPr>
        <w:t xml:space="preserve">significantly </w:t>
      </w:r>
      <w:r w:rsidR="00425ADA" w:rsidRPr="00D23B8F">
        <w:rPr>
          <w:rFonts w:cstheme="minorHAnsi"/>
          <w:sz w:val="24"/>
          <w:szCs w:val="24"/>
        </w:rPr>
        <w:t xml:space="preserve">enhanced data quality. </w:t>
      </w:r>
      <w:r w:rsidRPr="00D23B8F">
        <w:rPr>
          <w:rFonts w:cstheme="minorHAnsi"/>
          <w:sz w:val="24"/>
          <w:szCs w:val="24"/>
        </w:rPr>
        <w:t xml:space="preserve"> </w:t>
      </w:r>
    </w:p>
    <w:p w14:paraId="39F07A6A" w14:textId="77777777" w:rsidR="00425ADA" w:rsidRPr="00D23B8F" w:rsidRDefault="00425ADA" w:rsidP="008B1F03">
      <w:pPr>
        <w:spacing w:after="0" w:line="480" w:lineRule="auto"/>
        <w:rPr>
          <w:rFonts w:cstheme="minorHAnsi"/>
          <w:sz w:val="24"/>
          <w:szCs w:val="24"/>
        </w:rPr>
      </w:pPr>
    </w:p>
    <w:p w14:paraId="59950428" w14:textId="77777777" w:rsidR="00677552" w:rsidRPr="00D23B8F" w:rsidRDefault="000F79FC" w:rsidP="008B1F03">
      <w:pPr>
        <w:pStyle w:val="Heading3"/>
        <w:spacing w:line="480" w:lineRule="auto"/>
        <w:rPr>
          <w:rFonts w:asciiTheme="minorHAnsi" w:hAnsiTheme="minorHAnsi" w:cstheme="minorHAnsi"/>
        </w:rPr>
      </w:pPr>
      <w:r w:rsidRPr="00D23B8F">
        <w:rPr>
          <w:rFonts w:asciiTheme="minorHAnsi" w:hAnsiTheme="minorHAnsi" w:cstheme="minorHAnsi"/>
        </w:rPr>
        <w:t xml:space="preserve">Data </w:t>
      </w:r>
      <w:r w:rsidR="00DA5F31" w:rsidRPr="00D23B8F">
        <w:rPr>
          <w:rFonts w:asciiTheme="minorHAnsi" w:hAnsiTheme="minorHAnsi" w:cstheme="minorHAnsi"/>
        </w:rPr>
        <w:t>d</w:t>
      </w:r>
      <w:r w:rsidRPr="00D23B8F">
        <w:rPr>
          <w:rFonts w:asciiTheme="minorHAnsi" w:hAnsiTheme="minorHAnsi" w:cstheme="minorHAnsi"/>
        </w:rPr>
        <w:t>efinitions</w:t>
      </w:r>
    </w:p>
    <w:p w14:paraId="44CD4F98" w14:textId="60266D9B" w:rsidR="00F6231F" w:rsidRPr="00D23B8F" w:rsidRDefault="00D22C96" w:rsidP="008B1F03">
      <w:pPr>
        <w:spacing w:after="0" w:line="480" w:lineRule="auto"/>
        <w:rPr>
          <w:rFonts w:cstheme="minorHAnsi"/>
          <w:sz w:val="24"/>
          <w:szCs w:val="24"/>
        </w:rPr>
      </w:pPr>
      <w:r w:rsidRPr="00D23B8F">
        <w:rPr>
          <w:rFonts w:cstheme="minorHAnsi"/>
          <w:sz w:val="24"/>
          <w:szCs w:val="24"/>
        </w:rPr>
        <w:t xml:space="preserve">The way that data </w:t>
      </w:r>
      <w:r w:rsidR="00BD3565" w:rsidRPr="00D23B8F">
        <w:rPr>
          <w:rFonts w:cstheme="minorHAnsi"/>
          <w:sz w:val="24"/>
          <w:szCs w:val="24"/>
        </w:rPr>
        <w:t xml:space="preserve">are </w:t>
      </w:r>
      <w:r w:rsidRPr="00D23B8F">
        <w:rPr>
          <w:rFonts w:cstheme="minorHAnsi"/>
          <w:sz w:val="24"/>
          <w:szCs w:val="24"/>
        </w:rPr>
        <w:t xml:space="preserve">defined can have particular implications for Aboriginal and Torres </w:t>
      </w:r>
      <w:r w:rsidR="00AF31CC" w:rsidRPr="00D23B8F">
        <w:rPr>
          <w:rFonts w:cstheme="minorHAnsi"/>
          <w:sz w:val="24"/>
          <w:szCs w:val="24"/>
        </w:rPr>
        <w:t>Strait</w:t>
      </w:r>
      <w:r w:rsidRPr="00D23B8F">
        <w:rPr>
          <w:rFonts w:cstheme="minorHAnsi"/>
          <w:sz w:val="24"/>
          <w:szCs w:val="24"/>
        </w:rPr>
        <w:t xml:space="preserve"> </w:t>
      </w:r>
      <w:r w:rsidR="00547478" w:rsidRPr="00D23B8F">
        <w:rPr>
          <w:rFonts w:cstheme="minorHAnsi"/>
          <w:sz w:val="24"/>
          <w:szCs w:val="24"/>
        </w:rPr>
        <w:t>I</w:t>
      </w:r>
      <w:r w:rsidRPr="00D23B8F">
        <w:rPr>
          <w:rFonts w:cstheme="minorHAnsi"/>
          <w:sz w:val="24"/>
          <w:szCs w:val="24"/>
        </w:rPr>
        <w:t xml:space="preserve">slander collections. </w:t>
      </w:r>
      <w:r w:rsidR="00F6231F" w:rsidRPr="00D23B8F">
        <w:rPr>
          <w:rFonts w:cstheme="minorHAnsi"/>
          <w:sz w:val="24"/>
          <w:szCs w:val="24"/>
        </w:rPr>
        <w:t xml:space="preserve"> For </w:t>
      </w:r>
      <w:r w:rsidR="00AB7227" w:rsidRPr="00D23B8F">
        <w:rPr>
          <w:rFonts w:cstheme="minorHAnsi"/>
          <w:sz w:val="24"/>
          <w:szCs w:val="24"/>
        </w:rPr>
        <w:t>example the</w:t>
      </w:r>
      <w:r w:rsidR="00B505E0" w:rsidRPr="00D23B8F">
        <w:rPr>
          <w:rFonts w:cstheme="minorHAnsi"/>
          <w:sz w:val="24"/>
          <w:szCs w:val="24"/>
        </w:rPr>
        <w:t xml:space="preserve"> self-identification </w:t>
      </w:r>
      <w:r w:rsidR="00F6231F" w:rsidRPr="00D23B8F">
        <w:rPr>
          <w:rFonts w:cstheme="minorHAnsi"/>
          <w:sz w:val="24"/>
          <w:szCs w:val="24"/>
        </w:rPr>
        <w:t xml:space="preserve">question for students at </w:t>
      </w:r>
      <w:r w:rsidR="00F6231F" w:rsidRPr="00D23B8F">
        <w:rPr>
          <w:rFonts w:cstheme="minorHAnsi"/>
          <w:sz w:val="24"/>
          <w:szCs w:val="24"/>
        </w:rPr>
        <w:lastRenderedPageBreak/>
        <w:t xml:space="preserve">the point of </w:t>
      </w:r>
      <w:r w:rsidR="004B7260" w:rsidRPr="00D23B8F">
        <w:rPr>
          <w:rFonts w:cstheme="minorHAnsi"/>
          <w:sz w:val="24"/>
          <w:szCs w:val="24"/>
        </w:rPr>
        <w:t>enrolment may</w:t>
      </w:r>
      <w:r w:rsidR="00B505E0" w:rsidRPr="00D23B8F">
        <w:rPr>
          <w:rFonts w:cstheme="minorHAnsi"/>
          <w:sz w:val="24"/>
          <w:szCs w:val="24"/>
        </w:rPr>
        <w:t xml:space="preserve"> be too </w:t>
      </w:r>
      <w:r w:rsidR="00BD3565" w:rsidRPr="00D23B8F">
        <w:rPr>
          <w:rFonts w:cstheme="minorHAnsi"/>
          <w:sz w:val="24"/>
          <w:szCs w:val="24"/>
        </w:rPr>
        <w:t>coarse-</w:t>
      </w:r>
      <w:r w:rsidR="00B505E0" w:rsidRPr="00D23B8F">
        <w:rPr>
          <w:rFonts w:cstheme="minorHAnsi"/>
          <w:sz w:val="24"/>
          <w:szCs w:val="24"/>
        </w:rPr>
        <w:t>grained</w:t>
      </w:r>
      <w:r w:rsidR="002028C5">
        <w:rPr>
          <w:rFonts w:cstheme="minorHAnsi"/>
          <w:sz w:val="24"/>
          <w:szCs w:val="24"/>
        </w:rPr>
        <w:t xml:space="preserve">, </w:t>
      </w:r>
      <w:r w:rsidR="00044ACA">
        <w:rPr>
          <w:rFonts w:cstheme="minorHAnsi"/>
          <w:sz w:val="24"/>
          <w:szCs w:val="24"/>
        </w:rPr>
        <w:t xml:space="preserve">and not sufficiently </w:t>
      </w:r>
      <w:r w:rsidR="002028C5">
        <w:rPr>
          <w:rFonts w:eastAsia="Times New Roman"/>
          <w:color w:val="000000"/>
          <w:sz w:val="24"/>
          <w:szCs w:val="24"/>
        </w:rPr>
        <w:t xml:space="preserve">enabling for the definition of people's unique and complex heritages being counted, and </w:t>
      </w:r>
      <w:r w:rsidR="008513A9">
        <w:rPr>
          <w:rFonts w:eastAsia="Times New Roman"/>
          <w:color w:val="000000"/>
          <w:sz w:val="24"/>
          <w:szCs w:val="24"/>
        </w:rPr>
        <w:t xml:space="preserve">of </w:t>
      </w:r>
      <w:r w:rsidR="00B505E0" w:rsidRPr="00D23B8F">
        <w:rPr>
          <w:rFonts w:cstheme="minorHAnsi"/>
          <w:sz w:val="24"/>
          <w:szCs w:val="24"/>
        </w:rPr>
        <w:t>captur</w:t>
      </w:r>
      <w:r w:rsidR="002028C5">
        <w:rPr>
          <w:rFonts w:cstheme="minorHAnsi"/>
          <w:sz w:val="24"/>
          <w:szCs w:val="24"/>
        </w:rPr>
        <w:t>ing</w:t>
      </w:r>
      <w:r w:rsidR="00B505E0" w:rsidRPr="00D23B8F">
        <w:rPr>
          <w:rFonts w:cstheme="minorHAnsi"/>
          <w:sz w:val="24"/>
          <w:szCs w:val="24"/>
        </w:rPr>
        <w:t xml:space="preserve"> </w:t>
      </w:r>
      <w:r w:rsidR="002028C5">
        <w:rPr>
          <w:rFonts w:cstheme="minorHAnsi"/>
          <w:sz w:val="24"/>
          <w:szCs w:val="24"/>
        </w:rPr>
        <w:t xml:space="preserve">kinship or language groups, </w:t>
      </w:r>
      <w:r w:rsidR="00B505E0" w:rsidRPr="00D23B8F">
        <w:rPr>
          <w:rFonts w:cstheme="minorHAnsi"/>
          <w:sz w:val="24"/>
          <w:szCs w:val="24"/>
        </w:rPr>
        <w:t>culturally appropriate relationships</w:t>
      </w:r>
      <w:r w:rsidR="003C6E6A">
        <w:rPr>
          <w:rFonts w:cstheme="minorHAnsi"/>
          <w:sz w:val="24"/>
          <w:szCs w:val="24"/>
        </w:rPr>
        <w:t>, historical associations</w:t>
      </w:r>
      <w:r w:rsidR="00B505E0" w:rsidRPr="00D23B8F">
        <w:rPr>
          <w:rFonts w:cstheme="minorHAnsi"/>
          <w:sz w:val="24"/>
          <w:szCs w:val="24"/>
        </w:rPr>
        <w:t xml:space="preserve"> and community representations.  </w:t>
      </w:r>
      <w:r w:rsidR="002028C5">
        <w:rPr>
          <w:rFonts w:eastAsia="Times New Roman"/>
          <w:color w:val="000000"/>
          <w:sz w:val="24"/>
          <w:szCs w:val="24"/>
        </w:rPr>
        <w:t>Conversely there are</w:t>
      </w:r>
      <w:r w:rsidR="003C6E6A">
        <w:rPr>
          <w:rFonts w:eastAsia="Times New Roman"/>
          <w:color w:val="000000"/>
          <w:sz w:val="24"/>
          <w:szCs w:val="24"/>
        </w:rPr>
        <w:t xml:space="preserve"> other</w:t>
      </w:r>
      <w:r w:rsidR="002028C5">
        <w:rPr>
          <w:rFonts w:eastAsia="Times New Roman"/>
          <w:color w:val="000000"/>
          <w:sz w:val="24"/>
          <w:szCs w:val="24"/>
        </w:rPr>
        <w:t xml:space="preserve"> problems to be taken into consideration </w:t>
      </w:r>
      <w:r w:rsidR="003C6E6A">
        <w:rPr>
          <w:rFonts w:eastAsia="Times New Roman"/>
          <w:color w:val="000000"/>
          <w:sz w:val="24"/>
          <w:szCs w:val="24"/>
        </w:rPr>
        <w:t>associated when</w:t>
      </w:r>
      <w:r w:rsidR="002028C5">
        <w:rPr>
          <w:rFonts w:eastAsia="Times New Roman"/>
          <w:color w:val="000000"/>
          <w:sz w:val="24"/>
          <w:szCs w:val="24"/>
        </w:rPr>
        <w:t xml:space="preserve"> course grain definitions and </w:t>
      </w:r>
      <w:r w:rsidR="002028C5">
        <w:rPr>
          <w:rFonts w:eastAsia="Times New Roman"/>
          <w:color w:val="000000"/>
          <w:sz w:val="24"/>
          <w:szCs w:val="24"/>
        </w:rPr>
        <w:lastRenderedPageBreak/>
        <w:t xml:space="preserve">statistics </w:t>
      </w:r>
      <w:r w:rsidR="003C6E6A">
        <w:rPr>
          <w:rFonts w:eastAsia="Times New Roman"/>
          <w:color w:val="000000"/>
          <w:sz w:val="24"/>
          <w:szCs w:val="24"/>
        </w:rPr>
        <w:t>are applied,</w:t>
      </w:r>
      <w:r w:rsidR="002028C5">
        <w:rPr>
          <w:rFonts w:eastAsia="Times New Roman"/>
          <w:color w:val="000000"/>
          <w:sz w:val="24"/>
          <w:szCs w:val="24"/>
        </w:rPr>
        <w:t xml:space="preserve"> </w:t>
      </w:r>
      <w:r w:rsidR="00044ACA">
        <w:rPr>
          <w:rFonts w:eastAsia="Times New Roman"/>
          <w:color w:val="000000"/>
          <w:sz w:val="24"/>
          <w:szCs w:val="24"/>
        </w:rPr>
        <w:t xml:space="preserve">particularly </w:t>
      </w:r>
      <w:r w:rsidR="002028C5">
        <w:rPr>
          <w:rFonts w:eastAsia="Times New Roman"/>
          <w:color w:val="000000"/>
          <w:sz w:val="24"/>
          <w:szCs w:val="24"/>
        </w:rPr>
        <w:t>for people who are unable to state more defined language gro</w:t>
      </w:r>
      <w:r w:rsidR="00044ACA">
        <w:rPr>
          <w:rFonts w:eastAsia="Times New Roman"/>
          <w:color w:val="000000"/>
          <w:sz w:val="24"/>
          <w:szCs w:val="24"/>
        </w:rPr>
        <w:t>up or clan group associations.</w:t>
      </w:r>
    </w:p>
    <w:p w14:paraId="137344A0" w14:textId="77777777" w:rsidR="002028C5" w:rsidRPr="00D23B8F" w:rsidRDefault="002028C5" w:rsidP="008B1F03">
      <w:pPr>
        <w:spacing w:after="0" w:line="480" w:lineRule="auto"/>
        <w:rPr>
          <w:rFonts w:cstheme="minorHAnsi"/>
          <w:b/>
          <w:sz w:val="24"/>
          <w:szCs w:val="24"/>
        </w:rPr>
      </w:pPr>
    </w:p>
    <w:p w14:paraId="481C6FC3" w14:textId="77777777" w:rsidR="00B505E0" w:rsidRPr="00D23B8F" w:rsidRDefault="00B505E0" w:rsidP="008B1F03">
      <w:pPr>
        <w:spacing w:after="0" w:line="480" w:lineRule="auto"/>
        <w:rPr>
          <w:rFonts w:cstheme="minorHAnsi"/>
          <w:sz w:val="24"/>
          <w:szCs w:val="24"/>
        </w:rPr>
      </w:pPr>
      <w:r w:rsidRPr="00D23B8F">
        <w:rPr>
          <w:rFonts w:cstheme="minorHAnsi"/>
          <w:sz w:val="24"/>
          <w:szCs w:val="24"/>
        </w:rPr>
        <w:t xml:space="preserve"> Many </w:t>
      </w:r>
      <w:r w:rsidR="005F16BF" w:rsidRPr="00D23B8F">
        <w:rPr>
          <w:rFonts w:cstheme="minorHAnsi"/>
          <w:sz w:val="24"/>
          <w:szCs w:val="24"/>
        </w:rPr>
        <w:t xml:space="preserve">data </w:t>
      </w:r>
      <w:r w:rsidRPr="00D23B8F">
        <w:rPr>
          <w:rFonts w:cstheme="minorHAnsi"/>
          <w:sz w:val="24"/>
          <w:szCs w:val="24"/>
        </w:rPr>
        <w:t xml:space="preserve">collection </w:t>
      </w:r>
      <w:r w:rsidR="005F16BF" w:rsidRPr="00D23B8F">
        <w:rPr>
          <w:rFonts w:cstheme="minorHAnsi"/>
          <w:sz w:val="24"/>
          <w:szCs w:val="24"/>
        </w:rPr>
        <w:t xml:space="preserve">practices </w:t>
      </w:r>
      <w:r w:rsidRPr="00D23B8F">
        <w:rPr>
          <w:rFonts w:cstheme="minorHAnsi"/>
          <w:sz w:val="24"/>
          <w:szCs w:val="24"/>
        </w:rPr>
        <w:t xml:space="preserve">do not distinguish </w:t>
      </w:r>
      <w:r w:rsidR="00252A12">
        <w:rPr>
          <w:rFonts w:cstheme="minorHAnsi"/>
          <w:sz w:val="24"/>
          <w:szCs w:val="24"/>
        </w:rPr>
        <w:t>‘</w:t>
      </w:r>
      <w:r w:rsidRPr="00D23B8F">
        <w:rPr>
          <w:rFonts w:cstheme="minorHAnsi"/>
          <w:sz w:val="24"/>
          <w:szCs w:val="24"/>
        </w:rPr>
        <w:t>Indigenous</w:t>
      </w:r>
      <w:r w:rsidR="00252A12">
        <w:rPr>
          <w:rFonts w:cstheme="minorHAnsi"/>
          <w:sz w:val="24"/>
          <w:szCs w:val="24"/>
        </w:rPr>
        <w:t>’</w:t>
      </w:r>
      <w:r w:rsidRPr="00D23B8F">
        <w:rPr>
          <w:rFonts w:cstheme="minorHAnsi"/>
          <w:sz w:val="24"/>
          <w:szCs w:val="24"/>
        </w:rPr>
        <w:t xml:space="preserve"> from </w:t>
      </w:r>
      <w:r w:rsidR="00252A12">
        <w:rPr>
          <w:rFonts w:cstheme="minorHAnsi"/>
          <w:sz w:val="24"/>
          <w:szCs w:val="24"/>
        </w:rPr>
        <w:t>‘</w:t>
      </w:r>
      <w:r w:rsidRPr="00D23B8F">
        <w:rPr>
          <w:rFonts w:cstheme="minorHAnsi"/>
          <w:sz w:val="24"/>
          <w:szCs w:val="24"/>
        </w:rPr>
        <w:t>Aboriginal and Torres Strait Islander</w:t>
      </w:r>
      <w:r w:rsidR="00252A12">
        <w:rPr>
          <w:rFonts w:cstheme="minorHAnsi"/>
          <w:sz w:val="24"/>
          <w:szCs w:val="24"/>
        </w:rPr>
        <w:t>’</w:t>
      </w:r>
      <w:r w:rsidR="00B66457" w:rsidRPr="00D23B8F">
        <w:rPr>
          <w:rFonts w:cstheme="minorHAnsi"/>
          <w:sz w:val="24"/>
          <w:szCs w:val="24"/>
        </w:rPr>
        <w:t xml:space="preserve"> (or use</w:t>
      </w:r>
      <w:r w:rsidR="00B3475F" w:rsidRPr="00D23B8F">
        <w:rPr>
          <w:rFonts w:cstheme="minorHAnsi"/>
          <w:sz w:val="24"/>
          <w:szCs w:val="24"/>
        </w:rPr>
        <w:t xml:space="preserve"> them</w:t>
      </w:r>
      <w:r w:rsidR="00B66457" w:rsidRPr="00D23B8F">
        <w:rPr>
          <w:rFonts w:cstheme="minorHAnsi"/>
          <w:sz w:val="24"/>
          <w:szCs w:val="24"/>
        </w:rPr>
        <w:t xml:space="preserve"> interchangeably)</w:t>
      </w:r>
      <w:r w:rsidRPr="00D23B8F">
        <w:rPr>
          <w:rFonts w:cstheme="minorHAnsi"/>
          <w:sz w:val="24"/>
          <w:szCs w:val="24"/>
        </w:rPr>
        <w:t xml:space="preserve">, nor do they clarify the distinctions </w:t>
      </w:r>
      <w:r w:rsidRPr="00D23B8F">
        <w:rPr>
          <w:rFonts w:cstheme="minorHAnsi"/>
          <w:sz w:val="24"/>
          <w:szCs w:val="24"/>
        </w:rPr>
        <w:lastRenderedPageBreak/>
        <w:t xml:space="preserve">among </w:t>
      </w:r>
      <w:r w:rsidR="00252A12">
        <w:rPr>
          <w:rFonts w:cstheme="minorHAnsi"/>
          <w:sz w:val="24"/>
          <w:szCs w:val="24"/>
        </w:rPr>
        <w:t>‘</w:t>
      </w:r>
      <w:r w:rsidRPr="00D23B8F">
        <w:rPr>
          <w:rFonts w:cstheme="minorHAnsi"/>
          <w:sz w:val="24"/>
          <w:szCs w:val="24"/>
        </w:rPr>
        <w:t>Aboriginal</w:t>
      </w:r>
      <w:r w:rsidR="00252A12">
        <w:rPr>
          <w:rFonts w:cstheme="minorHAnsi"/>
          <w:sz w:val="24"/>
          <w:szCs w:val="24"/>
        </w:rPr>
        <w:t>’</w:t>
      </w:r>
      <w:r w:rsidRPr="00D23B8F">
        <w:rPr>
          <w:rFonts w:cstheme="minorHAnsi"/>
          <w:sz w:val="24"/>
          <w:szCs w:val="24"/>
        </w:rPr>
        <w:t xml:space="preserve">, </w:t>
      </w:r>
      <w:r w:rsidR="00252A12">
        <w:rPr>
          <w:rFonts w:cstheme="minorHAnsi"/>
          <w:sz w:val="24"/>
          <w:szCs w:val="24"/>
        </w:rPr>
        <w:t>‘</w:t>
      </w:r>
      <w:r w:rsidRPr="00D23B8F">
        <w:rPr>
          <w:rFonts w:cstheme="minorHAnsi"/>
          <w:sz w:val="24"/>
          <w:szCs w:val="24"/>
        </w:rPr>
        <w:t>Torres Strait Islander</w:t>
      </w:r>
      <w:r w:rsidR="00252A12">
        <w:rPr>
          <w:rFonts w:cstheme="minorHAnsi"/>
          <w:sz w:val="24"/>
          <w:szCs w:val="24"/>
        </w:rPr>
        <w:t>’</w:t>
      </w:r>
      <w:r w:rsidRPr="00D23B8F">
        <w:rPr>
          <w:rFonts w:cstheme="minorHAnsi"/>
          <w:sz w:val="24"/>
          <w:szCs w:val="24"/>
        </w:rPr>
        <w:t xml:space="preserve">, </w:t>
      </w:r>
      <w:r w:rsidR="00252A12">
        <w:rPr>
          <w:rFonts w:cstheme="minorHAnsi"/>
          <w:sz w:val="24"/>
          <w:szCs w:val="24"/>
        </w:rPr>
        <w:t>‘</w:t>
      </w:r>
      <w:r w:rsidRPr="00D23B8F">
        <w:rPr>
          <w:rFonts w:cstheme="minorHAnsi"/>
          <w:sz w:val="24"/>
          <w:szCs w:val="24"/>
        </w:rPr>
        <w:t xml:space="preserve">Aboriginal </w:t>
      </w:r>
      <w:r w:rsidRPr="00D23B8F">
        <w:rPr>
          <w:rFonts w:cstheme="minorHAnsi"/>
          <w:sz w:val="24"/>
          <w:szCs w:val="24"/>
          <w:u w:val="single"/>
        </w:rPr>
        <w:t>and</w:t>
      </w:r>
      <w:r w:rsidRPr="00D23B8F">
        <w:rPr>
          <w:rFonts w:cstheme="minorHAnsi"/>
          <w:sz w:val="24"/>
          <w:szCs w:val="24"/>
        </w:rPr>
        <w:t xml:space="preserve"> Torres Strait Islander</w:t>
      </w:r>
      <w:r w:rsidR="00252A12">
        <w:rPr>
          <w:rFonts w:cstheme="minorHAnsi"/>
          <w:sz w:val="24"/>
          <w:szCs w:val="24"/>
        </w:rPr>
        <w:t>’</w:t>
      </w:r>
      <w:r w:rsidRPr="00D23B8F">
        <w:rPr>
          <w:rFonts w:cstheme="minorHAnsi"/>
          <w:sz w:val="24"/>
          <w:szCs w:val="24"/>
        </w:rPr>
        <w:t xml:space="preserve">.  Nakata </w:t>
      </w:r>
      <w:r w:rsidR="001F2C95" w:rsidRPr="00D23B8F">
        <w:rPr>
          <w:rFonts w:cstheme="minorHAnsi"/>
          <w:sz w:val="24"/>
          <w:szCs w:val="24"/>
        </w:rPr>
        <w:t>(20</w:t>
      </w:r>
      <w:r w:rsidR="009244E8" w:rsidRPr="00D23B8F">
        <w:rPr>
          <w:rFonts w:cstheme="minorHAnsi"/>
          <w:sz w:val="24"/>
          <w:szCs w:val="24"/>
        </w:rPr>
        <w:t>1</w:t>
      </w:r>
      <w:r w:rsidR="001F2C95" w:rsidRPr="00D23B8F">
        <w:rPr>
          <w:rFonts w:cstheme="minorHAnsi"/>
          <w:sz w:val="24"/>
          <w:szCs w:val="24"/>
        </w:rPr>
        <w:t xml:space="preserve">3) has further </w:t>
      </w:r>
      <w:r w:rsidR="00D36CAE" w:rsidRPr="00D23B8F">
        <w:rPr>
          <w:rFonts w:cstheme="minorHAnsi"/>
          <w:sz w:val="24"/>
          <w:szCs w:val="24"/>
        </w:rPr>
        <w:t xml:space="preserve">questioned </w:t>
      </w:r>
      <w:r w:rsidR="007C36F4" w:rsidRPr="00D23B8F">
        <w:rPr>
          <w:rFonts w:cstheme="minorHAnsi"/>
          <w:sz w:val="24"/>
          <w:szCs w:val="24"/>
        </w:rPr>
        <w:t>this by</w:t>
      </w:r>
      <w:r w:rsidRPr="00D23B8F">
        <w:rPr>
          <w:rFonts w:cstheme="minorHAnsi"/>
          <w:sz w:val="24"/>
          <w:szCs w:val="24"/>
        </w:rPr>
        <w:t xml:space="preserve"> noting that both Indigenous and Aboriginal </w:t>
      </w:r>
      <w:r w:rsidR="003A3EB5" w:rsidRPr="00D23B8F">
        <w:rPr>
          <w:rFonts w:cstheme="minorHAnsi"/>
          <w:sz w:val="24"/>
          <w:szCs w:val="24"/>
        </w:rPr>
        <w:t xml:space="preserve">and </w:t>
      </w:r>
      <w:r w:rsidRPr="00D23B8F">
        <w:rPr>
          <w:rFonts w:cstheme="minorHAnsi"/>
          <w:sz w:val="24"/>
          <w:szCs w:val="24"/>
        </w:rPr>
        <w:t xml:space="preserve">Torres Strait Islander are </w:t>
      </w:r>
      <w:r w:rsidR="00200667" w:rsidRPr="00D23B8F">
        <w:rPr>
          <w:rFonts w:cstheme="minorHAnsi"/>
          <w:sz w:val="24"/>
          <w:szCs w:val="24"/>
        </w:rPr>
        <w:t xml:space="preserve">essentially Western constructs. </w:t>
      </w:r>
      <w:r w:rsidR="004C6574" w:rsidRPr="00D23B8F">
        <w:rPr>
          <w:rStyle w:val="FootnoteReference"/>
          <w:rFonts w:asciiTheme="minorHAnsi" w:hAnsiTheme="minorHAnsi" w:cstheme="minorHAnsi"/>
          <w:szCs w:val="24"/>
        </w:rPr>
        <w:footnoteReference w:id="8"/>
      </w:r>
    </w:p>
    <w:p w14:paraId="05F86A2E" w14:textId="77777777" w:rsidR="00D9411E" w:rsidRPr="00D23B8F" w:rsidRDefault="00D9411E" w:rsidP="008B1F03">
      <w:pPr>
        <w:spacing w:after="0" w:line="480" w:lineRule="auto"/>
        <w:rPr>
          <w:rFonts w:cstheme="minorHAnsi"/>
          <w:sz w:val="24"/>
          <w:szCs w:val="24"/>
        </w:rPr>
      </w:pPr>
    </w:p>
    <w:p w14:paraId="260E0E20" w14:textId="03628A1E" w:rsidR="009C042B" w:rsidRPr="00D23B8F" w:rsidRDefault="001F2C95" w:rsidP="008B1F03">
      <w:pPr>
        <w:pStyle w:val="BodyA"/>
        <w:spacing w:line="480" w:lineRule="auto"/>
        <w:rPr>
          <w:rFonts w:asciiTheme="minorHAnsi" w:eastAsia="Times New Roman" w:hAnsiTheme="minorHAnsi" w:cstheme="minorHAnsi"/>
          <w:sz w:val="24"/>
          <w:szCs w:val="24"/>
          <w:lang w:val="en-AU"/>
        </w:rPr>
      </w:pPr>
      <w:r w:rsidRPr="00D23B8F">
        <w:rPr>
          <w:rFonts w:asciiTheme="minorHAnsi" w:hAnsiTheme="minorHAnsi" w:cstheme="minorHAnsi"/>
          <w:sz w:val="24"/>
          <w:szCs w:val="24"/>
        </w:rPr>
        <w:t>In</w:t>
      </w:r>
      <w:r w:rsidR="00D9411E" w:rsidRPr="00D23B8F">
        <w:rPr>
          <w:rFonts w:asciiTheme="minorHAnsi" w:hAnsiTheme="minorHAnsi" w:cstheme="minorHAnsi"/>
          <w:sz w:val="24"/>
          <w:szCs w:val="24"/>
        </w:rPr>
        <w:t xml:space="preserve"> the higher </w:t>
      </w:r>
      <w:r w:rsidRPr="00D23B8F">
        <w:rPr>
          <w:rFonts w:asciiTheme="minorHAnsi" w:hAnsiTheme="minorHAnsi" w:cstheme="minorHAnsi"/>
          <w:sz w:val="24"/>
          <w:szCs w:val="24"/>
        </w:rPr>
        <w:t>education</w:t>
      </w:r>
      <w:r w:rsidR="00D9411E" w:rsidRPr="00D23B8F">
        <w:rPr>
          <w:rFonts w:asciiTheme="minorHAnsi" w:hAnsiTheme="minorHAnsi" w:cstheme="minorHAnsi"/>
          <w:sz w:val="24"/>
          <w:szCs w:val="24"/>
        </w:rPr>
        <w:t xml:space="preserve"> sector </w:t>
      </w:r>
      <w:r w:rsidRPr="00D23B8F">
        <w:rPr>
          <w:rFonts w:asciiTheme="minorHAnsi" w:hAnsiTheme="minorHAnsi" w:cstheme="minorHAnsi"/>
          <w:sz w:val="24"/>
          <w:szCs w:val="24"/>
        </w:rPr>
        <w:t>specifically</w:t>
      </w:r>
      <w:r w:rsidR="007C36F4" w:rsidRPr="00D23B8F">
        <w:rPr>
          <w:rFonts w:asciiTheme="minorHAnsi" w:hAnsiTheme="minorHAnsi" w:cstheme="minorHAnsi"/>
          <w:sz w:val="24"/>
          <w:szCs w:val="24"/>
        </w:rPr>
        <w:t>,</w:t>
      </w:r>
      <w:r w:rsidR="00D9411E" w:rsidRPr="00D23B8F">
        <w:rPr>
          <w:rFonts w:asciiTheme="minorHAnsi" w:hAnsiTheme="minorHAnsi" w:cstheme="minorHAnsi"/>
          <w:sz w:val="24"/>
          <w:szCs w:val="24"/>
        </w:rPr>
        <w:t xml:space="preserve"> </w:t>
      </w:r>
      <w:r w:rsidR="000D7AAD" w:rsidRPr="00D23B8F">
        <w:rPr>
          <w:rFonts w:asciiTheme="minorHAnsi" w:hAnsiTheme="minorHAnsi" w:cstheme="minorHAnsi"/>
          <w:sz w:val="24"/>
          <w:szCs w:val="24"/>
        </w:rPr>
        <w:t xml:space="preserve">slight </w:t>
      </w:r>
      <w:r w:rsidR="00D9411E" w:rsidRPr="00D23B8F">
        <w:rPr>
          <w:rFonts w:asciiTheme="minorHAnsi" w:hAnsiTheme="minorHAnsi" w:cstheme="minorHAnsi"/>
          <w:sz w:val="24"/>
          <w:szCs w:val="24"/>
        </w:rPr>
        <w:t>differences</w:t>
      </w:r>
      <w:r w:rsidR="003A2BDF" w:rsidRPr="00D23B8F">
        <w:rPr>
          <w:rFonts w:asciiTheme="minorHAnsi" w:hAnsiTheme="minorHAnsi" w:cstheme="minorHAnsi"/>
          <w:sz w:val="24"/>
          <w:szCs w:val="24"/>
        </w:rPr>
        <w:t xml:space="preserve"> have been noted</w:t>
      </w:r>
      <w:r w:rsidR="00D9411E" w:rsidRPr="00D23B8F">
        <w:rPr>
          <w:rFonts w:asciiTheme="minorHAnsi" w:hAnsiTheme="minorHAnsi" w:cstheme="minorHAnsi"/>
          <w:sz w:val="24"/>
          <w:szCs w:val="24"/>
        </w:rPr>
        <w:t xml:space="preserve"> bet</w:t>
      </w:r>
      <w:r w:rsidR="003A2BDF" w:rsidRPr="00D23B8F">
        <w:rPr>
          <w:rFonts w:asciiTheme="minorHAnsi" w:hAnsiTheme="minorHAnsi" w:cstheme="minorHAnsi"/>
          <w:sz w:val="24"/>
          <w:szCs w:val="24"/>
        </w:rPr>
        <w:t xml:space="preserve">ween collections adding to the </w:t>
      </w:r>
      <w:r w:rsidR="009A67BE">
        <w:rPr>
          <w:rFonts w:asciiTheme="minorHAnsi" w:hAnsiTheme="minorHAnsi" w:cstheme="minorHAnsi"/>
          <w:sz w:val="24"/>
          <w:szCs w:val="24"/>
        </w:rPr>
        <w:t>‘</w:t>
      </w:r>
      <w:r w:rsidR="00D9411E" w:rsidRPr="00D23B8F">
        <w:rPr>
          <w:rFonts w:asciiTheme="minorHAnsi" w:hAnsiTheme="minorHAnsi" w:cstheme="minorHAnsi"/>
          <w:sz w:val="24"/>
          <w:szCs w:val="24"/>
        </w:rPr>
        <w:t>workloads and levels of frustration within Universities</w:t>
      </w:r>
      <w:r w:rsidR="009A67BE">
        <w:rPr>
          <w:rFonts w:asciiTheme="minorHAnsi" w:hAnsiTheme="minorHAnsi" w:cstheme="minorHAnsi"/>
          <w:sz w:val="24"/>
          <w:szCs w:val="24"/>
        </w:rPr>
        <w:t>’</w:t>
      </w:r>
      <w:r w:rsidR="00D9411E" w:rsidRPr="00D23B8F">
        <w:rPr>
          <w:rFonts w:asciiTheme="minorHAnsi" w:hAnsiTheme="minorHAnsi" w:cstheme="minorHAnsi"/>
          <w:sz w:val="24"/>
          <w:szCs w:val="24"/>
        </w:rPr>
        <w:t xml:space="preserve"> (</w:t>
      </w:r>
      <w:r w:rsidR="00B66457" w:rsidRPr="00D23B8F">
        <w:rPr>
          <w:rFonts w:asciiTheme="minorHAnsi" w:hAnsiTheme="minorHAnsi" w:cstheme="minorHAnsi"/>
          <w:sz w:val="24"/>
          <w:szCs w:val="24"/>
        </w:rPr>
        <w:t>Phillips KPA 2012</w:t>
      </w:r>
      <w:r w:rsidR="000356D3">
        <w:rPr>
          <w:rFonts w:asciiTheme="minorHAnsi" w:hAnsiTheme="minorHAnsi" w:cstheme="minorHAnsi"/>
          <w:sz w:val="24"/>
          <w:szCs w:val="24"/>
        </w:rPr>
        <w:t>:</w:t>
      </w:r>
      <w:r w:rsidR="007C36F4" w:rsidRPr="00D23B8F">
        <w:rPr>
          <w:rFonts w:asciiTheme="minorHAnsi" w:hAnsiTheme="minorHAnsi" w:cstheme="minorHAnsi"/>
          <w:sz w:val="24"/>
          <w:szCs w:val="24"/>
        </w:rPr>
        <w:t xml:space="preserve"> </w:t>
      </w:r>
      <w:r w:rsidR="00D9411E" w:rsidRPr="00D23B8F">
        <w:rPr>
          <w:rFonts w:asciiTheme="minorHAnsi" w:hAnsiTheme="minorHAnsi" w:cstheme="minorHAnsi"/>
          <w:sz w:val="24"/>
          <w:szCs w:val="24"/>
        </w:rPr>
        <w:t xml:space="preserve">73).  </w:t>
      </w:r>
      <w:r w:rsidR="00F6231F" w:rsidRPr="00D23B8F">
        <w:rPr>
          <w:rFonts w:asciiTheme="minorHAnsi" w:hAnsiTheme="minorHAnsi" w:cstheme="minorHAnsi"/>
          <w:sz w:val="24"/>
          <w:szCs w:val="24"/>
        </w:rPr>
        <w:t xml:space="preserve"> We found that am</w:t>
      </w:r>
      <w:r w:rsidR="00D9411E" w:rsidRPr="00D23B8F">
        <w:rPr>
          <w:rFonts w:asciiTheme="minorHAnsi" w:hAnsiTheme="minorHAnsi" w:cstheme="minorHAnsi"/>
          <w:sz w:val="24"/>
          <w:szCs w:val="24"/>
        </w:rPr>
        <w:t xml:space="preserve">biguous or inconsistent </w:t>
      </w:r>
      <w:r w:rsidR="00D9411E" w:rsidRPr="00D23B8F">
        <w:rPr>
          <w:rFonts w:asciiTheme="minorHAnsi" w:hAnsiTheme="minorHAnsi" w:cstheme="minorHAnsi"/>
          <w:sz w:val="24"/>
          <w:szCs w:val="24"/>
        </w:rPr>
        <w:lastRenderedPageBreak/>
        <w:t xml:space="preserve">definitions can also significantly </w:t>
      </w:r>
      <w:r w:rsidR="00BD3565" w:rsidRPr="00D23B8F">
        <w:rPr>
          <w:rFonts w:asciiTheme="minorHAnsi" w:hAnsiTheme="minorHAnsi" w:cstheme="minorHAnsi"/>
          <w:sz w:val="24"/>
          <w:szCs w:val="24"/>
        </w:rPr>
        <w:t xml:space="preserve">affect </w:t>
      </w:r>
      <w:r w:rsidR="00D9411E" w:rsidRPr="00D23B8F">
        <w:rPr>
          <w:rFonts w:asciiTheme="minorHAnsi" w:hAnsiTheme="minorHAnsi" w:cstheme="minorHAnsi"/>
          <w:sz w:val="24"/>
          <w:szCs w:val="24"/>
        </w:rPr>
        <w:t xml:space="preserve">the </w:t>
      </w:r>
      <w:r w:rsidR="00A07591" w:rsidRPr="00D23B8F">
        <w:rPr>
          <w:rFonts w:asciiTheme="minorHAnsi" w:hAnsiTheme="minorHAnsi" w:cstheme="minorHAnsi"/>
          <w:sz w:val="24"/>
          <w:szCs w:val="24"/>
        </w:rPr>
        <w:t>capacity</w:t>
      </w:r>
      <w:r w:rsidR="00D9411E" w:rsidRPr="00D23B8F">
        <w:rPr>
          <w:rFonts w:asciiTheme="minorHAnsi" w:hAnsiTheme="minorHAnsi" w:cstheme="minorHAnsi"/>
          <w:sz w:val="24"/>
          <w:szCs w:val="24"/>
        </w:rPr>
        <w:t xml:space="preserve"> to produce comparative data</w:t>
      </w:r>
      <w:r w:rsidR="00A07591" w:rsidRPr="00D23B8F">
        <w:rPr>
          <w:rFonts w:asciiTheme="minorHAnsi" w:hAnsiTheme="minorHAnsi" w:cstheme="minorHAnsi"/>
          <w:sz w:val="24"/>
          <w:szCs w:val="24"/>
        </w:rPr>
        <w:t xml:space="preserve"> across the sector and further impact quality by lessening opportunities for benchmarking. </w:t>
      </w:r>
    </w:p>
    <w:p w14:paraId="0440A9EF" w14:textId="77777777" w:rsidR="000F79FC" w:rsidRPr="00D23B8F" w:rsidRDefault="000F79FC" w:rsidP="008B1F03">
      <w:pPr>
        <w:pStyle w:val="Heading3"/>
        <w:spacing w:line="480" w:lineRule="auto"/>
        <w:rPr>
          <w:rFonts w:asciiTheme="minorHAnsi" w:hAnsiTheme="minorHAnsi" w:cstheme="minorHAnsi"/>
        </w:rPr>
      </w:pPr>
      <w:r w:rsidRPr="00D23B8F">
        <w:rPr>
          <w:rFonts w:asciiTheme="minorHAnsi" w:hAnsiTheme="minorHAnsi" w:cstheme="minorHAnsi"/>
        </w:rPr>
        <w:t xml:space="preserve">Data </w:t>
      </w:r>
      <w:r w:rsidR="003A3EB5" w:rsidRPr="00D23B8F">
        <w:rPr>
          <w:rFonts w:asciiTheme="minorHAnsi" w:hAnsiTheme="minorHAnsi" w:cstheme="minorHAnsi"/>
        </w:rPr>
        <w:t>appropriateness</w:t>
      </w:r>
    </w:p>
    <w:p w14:paraId="3FC3F42A" w14:textId="77777777" w:rsidR="000F79FC" w:rsidRPr="00D23B8F" w:rsidRDefault="000F79FC" w:rsidP="008B1F03">
      <w:pPr>
        <w:spacing w:after="0" w:line="480" w:lineRule="auto"/>
        <w:rPr>
          <w:rFonts w:cstheme="minorHAnsi"/>
          <w:sz w:val="24"/>
          <w:szCs w:val="24"/>
        </w:rPr>
      </w:pPr>
      <w:r w:rsidRPr="00D23B8F">
        <w:rPr>
          <w:rFonts w:cstheme="minorHAnsi"/>
          <w:sz w:val="24"/>
          <w:szCs w:val="24"/>
        </w:rPr>
        <w:t xml:space="preserve">The appropriateness of data is an important quality consideration. </w:t>
      </w:r>
      <w:r w:rsidR="001F2C95" w:rsidRPr="00D23B8F">
        <w:rPr>
          <w:rFonts w:cstheme="minorHAnsi"/>
          <w:sz w:val="24"/>
          <w:szCs w:val="24"/>
        </w:rPr>
        <w:t xml:space="preserve"> </w:t>
      </w:r>
      <w:r w:rsidRPr="00D23B8F">
        <w:rPr>
          <w:rFonts w:cstheme="minorHAnsi"/>
          <w:sz w:val="24"/>
          <w:szCs w:val="24"/>
        </w:rPr>
        <w:t xml:space="preserve">Prout (2010) </w:t>
      </w:r>
      <w:r w:rsidR="0060565F" w:rsidRPr="00D23B8F">
        <w:rPr>
          <w:rFonts w:cstheme="minorHAnsi"/>
          <w:sz w:val="24"/>
          <w:szCs w:val="24"/>
        </w:rPr>
        <w:t>noted</w:t>
      </w:r>
      <w:r w:rsidR="00BD3565" w:rsidRPr="00D23B8F">
        <w:rPr>
          <w:rFonts w:cstheme="minorHAnsi"/>
          <w:sz w:val="24"/>
          <w:szCs w:val="24"/>
        </w:rPr>
        <w:t>,</w:t>
      </w:r>
      <w:r w:rsidR="0060565F" w:rsidRPr="00D23B8F">
        <w:rPr>
          <w:rFonts w:cstheme="minorHAnsi"/>
          <w:sz w:val="24"/>
          <w:szCs w:val="24"/>
        </w:rPr>
        <w:t xml:space="preserve"> for </w:t>
      </w:r>
      <w:r w:rsidR="007C36F4" w:rsidRPr="00D23B8F">
        <w:rPr>
          <w:rFonts w:cstheme="minorHAnsi"/>
          <w:sz w:val="24"/>
          <w:szCs w:val="24"/>
        </w:rPr>
        <w:t>example, data</w:t>
      </w:r>
      <w:r w:rsidRPr="00D23B8F">
        <w:rPr>
          <w:rFonts w:cstheme="minorHAnsi"/>
          <w:sz w:val="24"/>
          <w:szCs w:val="24"/>
        </w:rPr>
        <w:t xml:space="preserve"> on attendance may be insensitive to issues such as mobility</w:t>
      </w:r>
      <w:r w:rsidR="00BD3565" w:rsidRPr="00D23B8F">
        <w:rPr>
          <w:rFonts w:cstheme="minorHAnsi"/>
          <w:sz w:val="24"/>
          <w:szCs w:val="24"/>
        </w:rPr>
        <w:t>,</w:t>
      </w:r>
      <w:r w:rsidR="0060565F" w:rsidRPr="00D23B8F">
        <w:rPr>
          <w:rFonts w:cstheme="minorHAnsi"/>
          <w:sz w:val="24"/>
          <w:szCs w:val="24"/>
        </w:rPr>
        <w:t xml:space="preserve"> which is </w:t>
      </w:r>
      <w:r w:rsidR="0060565F" w:rsidRPr="00D23B8F">
        <w:rPr>
          <w:rFonts w:cstheme="minorHAnsi"/>
          <w:sz w:val="24"/>
          <w:szCs w:val="24"/>
        </w:rPr>
        <w:lastRenderedPageBreak/>
        <w:t>a particular issue for many Aboriginal groups in rural or remote communities</w:t>
      </w:r>
      <w:r w:rsidRPr="00D23B8F">
        <w:rPr>
          <w:rFonts w:cstheme="minorHAnsi"/>
          <w:sz w:val="24"/>
          <w:szCs w:val="24"/>
        </w:rPr>
        <w:t>.</w:t>
      </w:r>
    </w:p>
    <w:p w14:paraId="5B7ACDE4" w14:textId="77777777" w:rsidR="000F79FC" w:rsidRPr="00D23B8F" w:rsidRDefault="000F79FC" w:rsidP="008B1F03">
      <w:pPr>
        <w:pStyle w:val="Heading3"/>
        <w:spacing w:line="480" w:lineRule="auto"/>
        <w:rPr>
          <w:rFonts w:asciiTheme="minorHAnsi" w:hAnsiTheme="minorHAnsi" w:cstheme="minorHAnsi"/>
        </w:rPr>
      </w:pPr>
      <w:r w:rsidRPr="00D23B8F">
        <w:rPr>
          <w:rFonts w:asciiTheme="minorHAnsi" w:hAnsiTheme="minorHAnsi" w:cstheme="minorHAnsi"/>
        </w:rPr>
        <w:t xml:space="preserve">Data levels of analysis </w:t>
      </w:r>
    </w:p>
    <w:p w14:paraId="11398D7B" w14:textId="6A82693A" w:rsidR="000F79FC" w:rsidRPr="00D23B8F" w:rsidRDefault="003A2BDF" w:rsidP="008B1F03">
      <w:pPr>
        <w:spacing w:after="0" w:line="480" w:lineRule="auto"/>
        <w:rPr>
          <w:rFonts w:cstheme="minorHAnsi"/>
          <w:b/>
          <w:sz w:val="24"/>
          <w:szCs w:val="24"/>
        </w:rPr>
      </w:pPr>
      <w:r w:rsidRPr="00D23B8F">
        <w:rPr>
          <w:rFonts w:cstheme="minorHAnsi"/>
          <w:sz w:val="24"/>
          <w:szCs w:val="24"/>
        </w:rPr>
        <w:t>The l</w:t>
      </w:r>
      <w:r w:rsidR="001F2C95" w:rsidRPr="00D23B8F">
        <w:rPr>
          <w:rFonts w:cstheme="minorHAnsi"/>
          <w:sz w:val="24"/>
          <w:szCs w:val="24"/>
        </w:rPr>
        <w:t>evel</w:t>
      </w:r>
      <w:r w:rsidR="00B22403">
        <w:rPr>
          <w:rFonts w:cstheme="minorHAnsi"/>
          <w:sz w:val="24"/>
          <w:szCs w:val="24"/>
        </w:rPr>
        <w:t>s</w:t>
      </w:r>
      <w:r w:rsidR="001F2C95" w:rsidRPr="00D23B8F">
        <w:rPr>
          <w:rFonts w:cstheme="minorHAnsi"/>
          <w:sz w:val="24"/>
          <w:szCs w:val="24"/>
        </w:rPr>
        <w:t xml:space="preserve"> at which data </w:t>
      </w:r>
      <w:r w:rsidR="00BD3565" w:rsidRPr="00D23B8F">
        <w:rPr>
          <w:rFonts w:cstheme="minorHAnsi"/>
          <w:sz w:val="24"/>
          <w:szCs w:val="24"/>
        </w:rPr>
        <w:t xml:space="preserve">were </w:t>
      </w:r>
      <w:r w:rsidR="001F2C95" w:rsidRPr="00D23B8F">
        <w:rPr>
          <w:rFonts w:cstheme="minorHAnsi"/>
          <w:sz w:val="24"/>
          <w:szCs w:val="24"/>
        </w:rPr>
        <w:t xml:space="preserve">collected </w:t>
      </w:r>
      <w:r w:rsidR="0060565F" w:rsidRPr="00D23B8F">
        <w:rPr>
          <w:rFonts w:cstheme="minorHAnsi"/>
          <w:sz w:val="24"/>
          <w:szCs w:val="24"/>
        </w:rPr>
        <w:t>(</w:t>
      </w:r>
      <w:r w:rsidR="001F2C95" w:rsidRPr="00D23B8F">
        <w:rPr>
          <w:rFonts w:cstheme="minorHAnsi"/>
          <w:sz w:val="24"/>
          <w:szCs w:val="24"/>
        </w:rPr>
        <w:t>local versus sectoral versus national</w:t>
      </w:r>
      <w:r w:rsidR="0060565F" w:rsidRPr="00D23B8F">
        <w:rPr>
          <w:rFonts w:cstheme="minorHAnsi"/>
          <w:sz w:val="24"/>
          <w:szCs w:val="24"/>
        </w:rPr>
        <w:t>) is also implicated (and conflated with other issues discussed) in data quality</w:t>
      </w:r>
      <w:r w:rsidR="001F2C95" w:rsidRPr="00D23B8F">
        <w:rPr>
          <w:rFonts w:cstheme="minorHAnsi"/>
          <w:sz w:val="24"/>
          <w:szCs w:val="24"/>
        </w:rPr>
        <w:t xml:space="preserve">.  </w:t>
      </w:r>
      <w:r w:rsidR="0060565F" w:rsidRPr="00D23B8F">
        <w:rPr>
          <w:rFonts w:cstheme="minorHAnsi"/>
          <w:sz w:val="24"/>
          <w:szCs w:val="24"/>
        </w:rPr>
        <w:t xml:space="preserve">Data collected at too high a level of abstraction run the risk of homogenising </w:t>
      </w:r>
      <w:r w:rsidR="0060565F" w:rsidRPr="00D23B8F">
        <w:rPr>
          <w:rFonts w:cstheme="minorHAnsi"/>
          <w:sz w:val="24"/>
          <w:szCs w:val="24"/>
        </w:rPr>
        <w:lastRenderedPageBreak/>
        <w:t xml:space="preserve">Aboriginal and Torres Strait Islander </w:t>
      </w:r>
      <w:r w:rsidR="003A3EB5" w:rsidRPr="00D23B8F">
        <w:rPr>
          <w:rFonts w:cstheme="minorHAnsi"/>
          <w:sz w:val="24"/>
          <w:szCs w:val="24"/>
        </w:rPr>
        <w:t xml:space="preserve">groups. </w:t>
      </w:r>
      <w:r w:rsidR="00B5274D">
        <w:rPr>
          <w:rFonts w:cstheme="minorHAnsi"/>
          <w:sz w:val="24"/>
          <w:szCs w:val="24"/>
        </w:rPr>
        <w:t xml:space="preserve">Conversely, data collected at the local level encounters </w:t>
      </w:r>
      <w:r w:rsidR="001C51D9">
        <w:rPr>
          <w:rFonts w:cstheme="minorHAnsi"/>
          <w:sz w:val="24"/>
          <w:szCs w:val="24"/>
        </w:rPr>
        <w:t xml:space="preserve">accusations associated with </w:t>
      </w:r>
      <w:r w:rsidR="00B5274D">
        <w:rPr>
          <w:rFonts w:cstheme="minorHAnsi"/>
          <w:sz w:val="24"/>
          <w:szCs w:val="24"/>
        </w:rPr>
        <w:t>difficulties of generalisability</w:t>
      </w:r>
      <w:r w:rsidR="001C51D9">
        <w:rPr>
          <w:rFonts w:cstheme="minorHAnsi"/>
          <w:sz w:val="24"/>
          <w:szCs w:val="24"/>
        </w:rPr>
        <w:t>.</w:t>
      </w:r>
    </w:p>
    <w:p w14:paraId="67F55F81" w14:textId="77777777" w:rsidR="000F79FC" w:rsidRPr="00D23B8F" w:rsidRDefault="000F79FC" w:rsidP="008B1F03">
      <w:pPr>
        <w:pStyle w:val="Heading2"/>
        <w:spacing w:line="480" w:lineRule="auto"/>
        <w:rPr>
          <w:rFonts w:asciiTheme="minorHAnsi" w:hAnsiTheme="minorHAnsi" w:cstheme="minorHAnsi"/>
        </w:rPr>
      </w:pPr>
      <w:r w:rsidRPr="00D23B8F">
        <w:rPr>
          <w:rFonts w:asciiTheme="minorHAnsi" w:hAnsiTheme="minorHAnsi" w:cstheme="minorHAnsi"/>
        </w:rPr>
        <w:lastRenderedPageBreak/>
        <w:t>Downstream</w:t>
      </w:r>
    </w:p>
    <w:p w14:paraId="4B5DBE11" w14:textId="77777777" w:rsidR="000F79FC" w:rsidRPr="00D23B8F" w:rsidRDefault="000F79FC" w:rsidP="008B1F03">
      <w:pPr>
        <w:pStyle w:val="Heading3"/>
        <w:spacing w:line="480" w:lineRule="auto"/>
        <w:rPr>
          <w:rFonts w:asciiTheme="minorHAnsi" w:hAnsiTheme="minorHAnsi" w:cstheme="minorHAnsi"/>
        </w:rPr>
      </w:pPr>
      <w:r w:rsidRPr="00D23B8F">
        <w:rPr>
          <w:rFonts w:asciiTheme="minorHAnsi" w:hAnsiTheme="minorHAnsi" w:cstheme="minorHAnsi"/>
        </w:rPr>
        <w:t xml:space="preserve">Data </w:t>
      </w:r>
      <w:r w:rsidR="00DA2C1A" w:rsidRPr="00D23B8F">
        <w:rPr>
          <w:rFonts w:asciiTheme="minorHAnsi" w:hAnsiTheme="minorHAnsi" w:cstheme="minorHAnsi"/>
        </w:rPr>
        <w:t>a</w:t>
      </w:r>
      <w:r w:rsidR="00710BD8" w:rsidRPr="00D23B8F">
        <w:rPr>
          <w:rFonts w:asciiTheme="minorHAnsi" w:hAnsiTheme="minorHAnsi" w:cstheme="minorHAnsi"/>
        </w:rPr>
        <w:t>vailability</w:t>
      </w:r>
    </w:p>
    <w:p w14:paraId="665162B9" w14:textId="77777777" w:rsidR="000F79FC" w:rsidRPr="00D23B8F" w:rsidRDefault="008B16C9" w:rsidP="008B1F03">
      <w:pPr>
        <w:spacing w:after="0" w:line="480" w:lineRule="auto"/>
        <w:rPr>
          <w:rFonts w:cstheme="minorHAnsi"/>
          <w:sz w:val="24"/>
          <w:szCs w:val="24"/>
        </w:rPr>
      </w:pPr>
      <w:r w:rsidRPr="00D23B8F">
        <w:rPr>
          <w:rFonts w:cstheme="minorHAnsi"/>
          <w:sz w:val="24"/>
          <w:szCs w:val="24"/>
        </w:rPr>
        <w:t xml:space="preserve">The </w:t>
      </w:r>
      <w:r w:rsidR="00AF31CC" w:rsidRPr="00D23B8F">
        <w:rPr>
          <w:rFonts w:cstheme="minorHAnsi"/>
          <w:sz w:val="24"/>
          <w:szCs w:val="24"/>
        </w:rPr>
        <w:t>availability</w:t>
      </w:r>
      <w:r w:rsidRPr="00D23B8F">
        <w:rPr>
          <w:rFonts w:cstheme="minorHAnsi"/>
          <w:sz w:val="24"/>
          <w:szCs w:val="24"/>
        </w:rPr>
        <w:t xml:space="preserve"> of data in the higher education sector </w:t>
      </w:r>
      <w:r w:rsidR="00F674CF" w:rsidRPr="00D23B8F">
        <w:rPr>
          <w:rFonts w:cstheme="minorHAnsi"/>
          <w:sz w:val="24"/>
          <w:szCs w:val="24"/>
        </w:rPr>
        <w:t xml:space="preserve">also </w:t>
      </w:r>
      <w:r w:rsidR="00AF31CC" w:rsidRPr="00D23B8F">
        <w:rPr>
          <w:rFonts w:cstheme="minorHAnsi"/>
          <w:sz w:val="24"/>
          <w:szCs w:val="24"/>
        </w:rPr>
        <w:t>presents on</w:t>
      </w:r>
      <w:r w:rsidRPr="00D23B8F">
        <w:rPr>
          <w:rFonts w:cstheme="minorHAnsi"/>
          <w:sz w:val="24"/>
          <w:szCs w:val="24"/>
        </w:rPr>
        <w:t>going difficulties.  For example</w:t>
      </w:r>
      <w:r w:rsidR="00BD3565" w:rsidRPr="00D23B8F">
        <w:rPr>
          <w:rFonts w:cstheme="minorHAnsi"/>
          <w:sz w:val="24"/>
          <w:szCs w:val="24"/>
        </w:rPr>
        <w:t>,</w:t>
      </w:r>
      <w:r w:rsidRPr="00D23B8F">
        <w:rPr>
          <w:rFonts w:cstheme="minorHAnsi"/>
          <w:sz w:val="24"/>
          <w:szCs w:val="24"/>
        </w:rPr>
        <w:t xml:space="preserve"> no data or </w:t>
      </w:r>
      <w:r w:rsidR="00AF31CC" w:rsidRPr="00D23B8F">
        <w:rPr>
          <w:rFonts w:cstheme="minorHAnsi"/>
          <w:sz w:val="24"/>
          <w:szCs w:val="24"/>
        </w:rPr>
        <w:t xml:space="preserve">statistics in higher education relating to Indigenous </w:t>
      </w:r>
      <w:r w:rsidR="00B86BB3" w:rsidRPr="00D23B8F">
        <w:rPr>
          <w:rFonts w:cstheme="minorHAnsi"/>
          <w:sz w:val="24"/>
          <w:szCs w:val="24"/>
        </w:rPr>
        <w:t>participation</w:t>
      </w:r>
      <w:r w:rsidRPr="00D23B8F">
        <w:rPr>
          <w:rFonts w:cstheme="minorHAnsi"/>
          <w:sz w:val="24"/>
          <w:szCs w:val="24"/>
        </w:rPr>
        <w:t xml:space="preserve"> were available online prior to 2004 </w:t>
      </w:r>
      <w:r w:rsidR="000F79FC" w:rsidRPr="00D23B8F">
        <w:rPr>
          <w:rFonts w:cstheme="minorHAnsi"/>
          <w:sz w:val="24"/>
          <w:szCs w:val="24"/>
        </w:rPr>
        <w:t>(Pech</w:t>
      </w:r>
      <w:r w:rsidR="00B3380E" w:rsidRPr="00D23B8F">
        <w:rPr>
          <w:rFonts w:cstheme="minorHAnsi"/>
          <w:sz w:val="24"/>
          <w:szCs w:val="24"/>
        </w:rPr>
        <w:t>e</w:t>
      </w:r>
      <w:r w:rsidR="000F79FC" w:rsidRPr="00D23B8F">
        <w:rPr>
          <w:rFonts w:cstheme="minorHAnsi"/>
          <w:sz w:val="24"/>
          <w:szCs w:val="24"/>
        </w:rPr>
        <w:t xml:space="preserve">nkina </w:t>
      </w:r>
      <w:r w:rsidR="000356D3">
        <w:rPr>
          <w:rFonts w:cstheme="minorHAnsi"/>
          <w:sz w:val="24"/>
          <w:szCs w:val="24"/>
        </w:rPr>
        <w:t>and</w:t>
      </w:r>
      <w:r w:rsidR="000356D3" w:rsidRPr="00D23B8F">
        <w:rPr>
          <w:rFonts w:cstheme="minorHAnsi"/>
          <w:sz w:val="24"/>
          <w:szCs w:val="24"/>
        </w:rPr>
        <w:t xml:space="preserve"> </w:t>
      </w:r>
      <w:r w:rsidR="000F79FC" w:rsidRPr="00D23B8F">
        <w:rPr>
          <w:rFonts w:cstheme="minorHAnsi"/>
          <w:sz w:val="24"/>
          <w:szCs w:val="24"/>
        </w:rPr>
        <w:t>Anderson</w:t>
      </w:r>
      <w:r w:rsidRPr="00D23B8F">
        <w:rPr>
          <w:rFonts w:cstheme="minorHAnsi"/>
          <w:sz w:val="24"/>
          <w:szCs w:val="24"/>
        </w:rPr>
        <w:t xml:space="preserve"> 2011</w:t>
      </w:r>
      <w:r w:rsidR="000F79FC" w:rsidRPr="00D23B8F">
        <w:rPr>
          <w:rFonts w:cstheme="minorHAnsi"/>
          <w:sz w:val="24"/>
          <w:szCs w:val="24"/>
        </w:rPr>
        <w:t>)</w:t>
      </w:r>
      <w:r w:rsidR="00AF31CC" w:rsidRPr="00D23B8F">
        <w:rPr>
          <w:rFonts w:cstheme="minorHAnsi"/>
          <w:sz w:val="24"/>
          <w:szCs w:val="24"/>
        </w:rPr>
        <w:t>.</w:t>
      </w:r>
      <w:r w:rsidR="00E9319E" w:rsidRPr="00D23B8F">
        <w:rPr>
          <w:rFonts w:cstheme="minorHAnsi"/>
          <w:sz w:val="24"/>
          <w:szCs w:val="24"/>
        </w:rPr>
        <w:t xml:space="preserve">  </w:t>
      </w:r>
      <w:r w:rsidR="000F79FC" w:rsidRPr="00D23B8F">
        <w:rPr>
          <w:rFonts w:cstheme="minorHAnsi"/>
          <w:sz w:val="24"/>
          <w:szCs w:val="24"/>
        </w:rPr>
        <w:t xml:space="preserve">Data for </w:t>
      </w:r>
      <w:r w:rsidR="00B86BB3" w:rsidRPr="00D23B8F">
        <w:rPr>
          <w:rFonts w:cstheme="minorHAnsi"/>
          <w:sz w:val="24"/>
          <w:szCs w:val="24"/>
        </w:rPr>
        <w:t>underrepresented groups</w:t>
      </w:r>
      <w:r w:rsidR="000F79FC" w:rsidRPr="00D23B8F">
        <w:rPr>
          <w:rFonts w:cstheme="minorHAnsi"/>
          <w:sz w:val="24"/>
          <w:szCs w:val="24"/>
        </w:rPr>
        <w:t xml:space="preserve"> </w:t>
      </w:r>
      <w:r w:rsidR="00BD3565" w:rsidRPr="00D23B8F">
        <w:rPr>
          <w:rFonts w:cstheme="minorHAnsi"/>
          <w:sz w:val="24"/>
          <w:szCs w:val="24"/>
        </w:rPr>
        <w:t xml:space="preserve">are </w:t>
      </w:r>
      <w:r w:rsidR="000F79FC" w:rsidRPr="00D23B8F">
        <w:rPr>
          <w:rFonts w:cstheme="minorHAnsi"/>
          <w:sz w:val="24"/>
          <w:szCs w:val="24"/>
        </w:rPr>
        <w:lastRenderedPageBreak/>
        <w:t>scarce a</w:t>
      </w:r>
      <w:r w:rsidR="0060565F" w:rsidRPr="00D23B8F">
        <w:rPr>
          <w:rFonts w:cstheme="minorHAnsi"/>
          <w:sz w:val="24"/>
          <w:szCs w:val="24"/>
        </w:rPr>
        <w:t xml:space="preserve">nd not easily accessible (Kinnane </w:t>
      </w:r>
      <w:r w:rsidR="00305FFD" w:rsidRPr="00D23B8F">
        <w:rPr>
          <w:rFonts w:cstheme="minorHAnsi"/>
          <w:iCs/>
          <w:sz w:val="24"/>
          <w:szCs w:val="24"/>
        </w:rPr>
        <w:t>et al.</w:t>
      </w:r>
      <w:r w:rsidR="0060565F" w:rsidRPr="00D23B8F">
        <w:rPr>
          <w:rFonts w:cstheme="minorHAnsi"/>
          <w:sz w:val="24"/>
          <w:szCs w:val="24"/>
        </w:rPr>
        <w:t xml:space="preserve"> 201</w:t>
      </w:r>
      <w:r w:rsidR="00DA2C1A" w:rsidRPr="00D23B8F">
        <w:rPr>
          <w:rFonts w:cstheme="minorHAnsi"/>
          <w:sz w:val="24"/>
          <w:szCs w:val="24"/>
        </w:rPr>
        <w:t>4</w:t>
      </w:r>
      <w:r w:rsidR="0060565F" w:rsidRPr="00D23B8F">
        <w:rPr>
          <w:rFonts w:cstheme="minorHAnsi"/>
          <w:sz w:val="24"/>
          <w:szCs w:val="24"/>
        </w:rPr>
        <w:t>)</w:t>
      </w:r>
      <w:r w:rsidR="000F79FC" w:rsidRPr="00D23B8F">
        <w:rPr>
          <w:rFonts w:cstheme="minorHAnsi"/>
          <w:sz w:val="24"/>
          <w:szCs w:val="24"/>
        </w:rPr>
        <w:t>.  Adelman (2010) has suggested that comparative statistics should be disaggregated based on a wider range of inclusion measures.  This could, perhaps should</w:t>
      </w:r>
      <w:r w:rsidR="00710BD8" w:rsidRPr="00D23B8F">
        <w:rPr>
          <w:rFonts w:cstheme="minorHAnsi"/>
          <w:sz w:val="24"/>
          <w:szCs w:val="24"/>
        </w:rPr>
        <w:t>,</w:t>
      </w:r>
      <w:r w:rsidR="000F79FC" w:rsidRPr="00D23B8F">
        <w:rPr>
          <w:rFonts w:cstheme="minorHAnsi"/>
          <w:sz w:val="24"/>
          <w:szCs w:val="24"/>
        </w:rPr>
        <w:t xml:space="preserve"> include underrepresented groups such as prisoners and people with a disability. </w:t>
      </w:r>
    </w:p>
    <w:p w14:paraId="5B453729" w14:textId="77777777" w:rsidR="000F79FC" w:rsidRPr="00D23B8F" w:rsidRDefault="000F79FC" w:rsidP="008B1F03">
      <w:pPr>
        <w:spacing w:after="0" w:line="480" w:lineRule="auto"/>
        <w:rPr>
          <w:rFonts w:cstheme="minorHAnsi"/>
          <w:sz w:val="24"/>
          <w:szCs w:val="24"/>
        </w:rPr>
      </w:pPr>
    </w:p>
    <w:p w14:paraId="09620593" w14:textId="675F01F5" w:rsidR="00B86BB3" w:rsidRPr="00D23B8F" w:rsidRDefault="00B86BB3" w:rsidP="008B1F03">
      <w:pPr>
        <w:spacing w:after="0" w:line="480" w:lineRule="auto"/>
        <w:rPr>
          <w:rFonts w:cstheme="minorHAnsi"/>
          <w:sz w:val="24"/>
          <w:szCs w:val="24"/>
        </w:rPr>
      </w:pPr>
      <w:r w:rsidRPr="00D23B8F">
        <w:rPr>
          <w:rFonts w:cstheme="minorHAnsi"/>
          <w:sz w:val="24"/>
          <w:szCs w:val="24"/>
        </w:rPr>
        <w:lastRenderedPageBreak/>
        <w:t>At the sector level</w:t>
      </w:r>
      <w:r w:rsidR="00DA2C1A" w:rsidRPr="00D23B8F">
        <w:rPr>
          <w:rFonts w:cstheme="minorHAnsi"/>
          <w:sz w:val="24"/>
          <w:szCs w:val="24"/>
        </w:rPr>
        <w:t>,</w:t>
      </w:r>
      <w:r w:rsidRPr="00D23B8F">
        <w:rPr>
          <w:rFonts w:cstheme="minorHAnsi"/>
          <w:sz w:val="24"/>
          <w:szCs w:val="24"/>
        </w:rPr>
        <w:t xml:space="preserve"> Phillips KPA (201</w:t>
      </w:r>
      <w:r w:rsidR="00710BD8" w:rsidRPr="00D23B8F">
        <w:rPr>
          <w:rFonts w:cstheme="minorHAnsi"/>
          <w:sz w:val="24"/>
          <w:szCs w:val="24"/>
        </w:rPr>
        <w:t>2</w:t>
      </w:r>
      <w:r w:rsidRPr="00D23B8F">
        <w:rPr>
          <w:rFonts w:cstheme="minorHAnsi"/>
          <w:sz w:val="24"/>
          <w:szCs w:val="24"/>
        </w:rPr>
        <w:t xml:space="preserve">) identified timeliness as an issue </w:t>
      </w:r>
      <w:r w:rsidR="00044ACA">
        <w:rPr>
          <w:rFonts w:cstheme="minorHAnsi"/>
          <w:sz w:val="24"/>
          <w:szCs w:val="24"/>
        </w:rPr>
        <w:t>affecting</w:t>
      </w:r>
      <w:r w:rsidR="001C2FC4">
        <w:rPr>
          <w:rFonts w:cstheme="minorHAnsi"/>
          <w:sz w:val="24"/>
          <w:szCs w:val="24"/>
        </w:rPr>
        <w:t xml:space="preserve"> the availability of data, </w:t>
      </w:r>
      <w:r w:rsidRPr="00D23B8F">
        <w:rPr>
          <w:rFonts w:cstheme="minorHAnsi"/>
          <w:sz w:val="24"/>
          <w:szCs w:val="24"/>
        </w:rPr>
        <w:t xml:space="preserve">with reporting requirements changing as policies and programs change.  </w:t>
      </w:r>
      <w:r w:rsidR="009C5418" w:rsidRPr="00D23B8F">
        <w:rPr>
          <w:rFonts w:cstheme="minorHAnsi"/>
          <w:sz w:val="24"/>
          <w:szCs w:val="24"/>
        </w:rPr>
        <w:t xml:space="preserve">  Universities report that they are required to provide large amounts of data to the Department but were</w:t>
      </w:r>
      <w:r w:rsidR="00AA6ABA" w:rsidRPr="00D23B8F">
        <w:rPr>
          <w:rFonts w:cstheme="minorHAnsi"/>
          <w:sz w:val="24"/>
          <w:szCs w:val="24"/>
        </w:rPr>
        <w:t xml:space="preserve"> then</w:t>
      </w:r>
      <w:r w:rsidR="009C5418" w:rsidRPr="00D23B8F">
        <w:rPr>
          <w:rFonts w:cstheme="minorHAnsi"/>
          <w:sz w:val="24"/>
          <w:szCs w:val="24"/>
        </w:rPr>
        <w:t xml:space="preserve"> not provided equivalent acces</w:t>
      </w:r>
      <w:r w:rsidR="003A2BDF" w:rsidRPr="00D23B8F">
        <w:rPr>
          <w:rFonts w:cstheme="minorHAnsi"/>
          <w:sz w:val="24"/>
          <w:szCs w:val="24"/>
        </w:rPr>
        <w:t>s to data held by it</w:t>
      </w:r>
      <w:r w:rsidR="001C2FC4">
        <w:rPr>
          <w:rFonts w:cstheme="minorHAnsi"/>
          <w:sz w:val="24"/>
          <w:szCs w:val="24"/>
        </w:rPr>
        <w:t xml:space="preserve"> in a timely manner</w:t>
      </w:r>
      <w:r w:rsidR="009C5418" w:rsidRPr="00D23B8F">
        <w:rPr>
          <w:rFonts w:cstheme="minorHAnsi"/>
          <w:sz w:val="24"/>
          <w:szCs w:val="24"/>
        </w:rPr>
        <w:t xml:space="preserve">. </w:t>
      </w:r>
      <w:r w:rsidR="00CF65B4" w:rsidRPr="00D23B8F">
        <w:rPr>
          <w:rFonts w:cstheme="minorHAnsi"/>
          <w:sz w:val="24"/>
          <w:szCs w:val="24"/>
        </w:rPr>
        <w:t xml:space="preserve"> Phillips KPA (201</w:t>
      </w:r>
      <w:r w:rsidR="00710BD8" w:rsidRPr="00D23B8F">
        <w:rPr>
          <w:rFonts w:cstheme="minorHAnsi"/>
          <w:sz w:val="24"/>
          <w:szCs w:val="24"/>
        </w:rPr>
        <w:t>2</w:t>
      </w:r>
      <w:r w:rsidR="00CF65B4" w:rsidRPr="00D23B8F">
        <w:rPr>
          <w:rFonts w:cstheme="minorHAnsi"/>
          <w:sz w:val="24"/>
          <w:szCs w:val="24"/>
        </w:rPr>
        <w:t xml:space="preserve">) noted that </w:t>
      </w:r>
      <w:r w:rsidR="009A67BE">
        <w:rPr>
          <w:rFonts w:cstheme="minorHAnsi"/>
          <w:sz w:val="24"/>
          <w:szCs w:val="24"/>
        </w:rPr>
        <w:t>‘</w:t>
      </w:r>
      <w:r w:rsidR="00CF65B4" w:rsidRPr="00D23B8F">
        <w:rPr>
          <w:rFonts w:cstheme="minorHAnsi"/>
          <w:sz w:val="24"/>
          <w:szCs w:val="24"/>
        </w:rPr>
        <w:t xml:space="preserve">universities would </w:t>
      </w:r>
      <w:r w:rsidR="00CF65B4" w:rsidRPr="00D23B8F">
        <w:rPr>
          <w:rFonts w:cstheme="minorHAnsi"/>
          <w:sz w:val="24"/>
          <w:szCs w:val="24"/>
        </w:rPr>
        <w:lastRenderedPageBreak/>
        <w:t>be far more willing to provide information if they had better access to it and if it could be used in ways which are useful to the institutions themselves</w:t>
      </w:r>
      <w:r w:rsidR="009A67BE">
        <w:rPr>
          <w:rFonts w:cstheme="minorHAnsi"/>
          <w:sz w:val="24"/>
          <w:szCs w:val="24"/>
        </w:rPr>
        <w:t>’</w:t>
      </w:r>
      <w:r w:rsidR="00CF65B4" w:rsidRPr="00D23B8F">
        <w:rPr>
          <w:rFonts w:cstheme="minorHAnsi"/>
          <w:sz w:val="24"/>
          <w:szCs w:val="24"/>
        </w:rPr>
        <w:t xml:space="preserve"> (73). </w:t>
      </w:r>
      <w:r w:rsidR="009C5418" w:rsidRPr="00D23B8F">
        <w:rPr>
          <w:rFonts w:cstheme="minorHAnsi"/>
          <w:sz w:val="24"/>
          <w:szCs w:val="24"/>
        </w:rPr>
        <w:t xml:space="preserve"> </w:t>
      </w:r>
    </w:p>
    <w:p w14:paraId="107C9E8A" w14:textId="77777777" w:rsidR="000F79FC" w:rsidRPr="00D23B8F" w:rsidRDefault="000F79FC" w:rsidP="008B1F03">
      <w:pPr>
        <w:pStyle w:val="Heading3"/>
        <w:spacing w:line="480" w:lineRule="auto"/>
        <w:rPr>
          <w:rFonts w:asciiTheme="minorHAnsi" w:hAnsiTheme="minorHAnsi" w:cstheme="minorHAnsi"/>
        </w:rPr>
      </w:pPr>
      <w:r w:rsidRPr="00D23B8F">
        <w:rPr>
          <w:rFonts w:asciiTheme="minorHAnsi" w:hAnsiTheme="minorHAnsi" w:cstheme="minorHAnsi"/>
        </w:rPr>
        <w:t>Data type</w:t>
      </w:r>
    </w:p>
    <w:p w14:paraId="17DAC836" w14:textId="025C164C" w:rsidR="0012456A" w:rsidRPr="00D23B8F" w:rsidRDefault="002F20A9" w:rsidP="008B1F03">
      <w:pPr>
        <w:widowControl w:val="0"/>
        <w:autoSpaceDE w:val="0"/>
        <w:autoSpaceDN w:val="0"/>
        <w:adjustRightInd w:val="0"/>
        <w:spacing w:after="240" w:line="480" w:lineRule="auto"/>
        <w:rPr>
          <w:rFonts w:eastAsiaTheme="minorHAnsi" w:cstheme="minorHAnsi"/>
          <w:sz w:val="24"/>
          <w:szCs w:val="24"/>
          <w:lang w:eastAsia="en-US"/>
        </w:rPr>
      </w:pPr>
      <w:r w:rsidRPr="00D23B8F">
        <w:rPr>
          <w:rFonts w:cstheme="minorHAnsi"/>
          <w:sz w:val="24"/>
          <w:szCs w:val="24"/>
        </w:rPr>
        <w:t xml:space="preserve">While the methodological bias against the contribution of qualitative data in favour of quantitative has been largely ameliorated, </w:t>
      </w:r>
      <w:r w:rsidR="00BD3565" w:rsidRPr="00D23B8F">
        <w:rPr>
          <w:rFonts w:cstheme="minorHAnsi"/>
          <w:sz w:val="24"/>
          <w:szCs w:val="24"/>
        </w:rPr>
        <w:t>decision-</w:t>
      </w:r>
      <w:r w:rsidRPr="00D23B8F">
        <w:rPr>
          <w:rFonts w:cstheme="minorHAnsi"/>
          <w:sz w:val="24"/>
          <w:szCs w:val="24"/>
        </w:rPr>
        <w:t>makers</w:t>
      </w:r>
      <w:r w:rsidR="001C51D9">
        <w:rPr>
          <w:rFonts w:cstheme="minorHAnsi"/>
          <w:sz w:val="24"/>
          <w:szCs w:val="24"/>
        </w:rPr>
        <w:t xml:space="preserve"> in the higher education</w:t>
      </w:r>
      <w:r w:rsidRPr="00D23B8F">
        <w:rPr>
          <w:rFonts w:cstheme="minorHAnsi"/>
          <w:sz w:val="24"/>
          <w:szCs w:val="24"/>
        </w:rPr>
        <w:t xml:space="preserve"> </w:t>
      </w:r>
      <w:r w:rsidR="00044ACA">
        <w:rPr>
          <w:rFonts w:cstheme="minorHAnsi"/>
          <w:sz w:val="24"/>
          <w:szCs w:val="24"/>
        </w:rPr>
        <w:t xml:space="preserve">sector </w:t>
      </w:r>
      <w:r w:rsidRPr="00D23B8F">
        <w:rPr>
          <w:rFonts w:cstheme="minorHAnsi"/>
          <w:sz w:val="24"/>
          <w:szCs w:val="24"/>
        </w:rPr>
        <w:lastRenderedPageBreak/>
        <w:t xml:space="preserve">still display a preference for quantitative data to support their </w:t>
      </w:r>
      <w:r w:rsidR="00BD3565" w:rsidRPr="00D23B8F">
        <w:rPr>
          <w:rFonts w:cstheme="minorHAnsi"/>
          <w:sz w:val="24"/>
          <w:szCs w:val="24"/>
        </w:rPr>
        <w:t>data-</w:t>
      </w:r>
      <w:r w:rsidRPr="00D23B8F">
        <w:rPr>
          <w:rFonts w:cstheme="minorHAnsi"/>
          <w:sz w:val="24"/>
          <w:szCs w:val="24"/>
        </w:rPr>
        <w:t xml:space="preserve">informed decisions.  </w:t>
      </w:r>
      <w:r w:rsidR="004A0FD0">
        <w:rPr>
          <w:rFonts w:cstheme="minorHAnsi"/>
          <w:sz w:val="24"/>
          <w:szCs w:val="24"/>
        </w:rPr>
        <w:t>Appropriately-balanced m</w:t>
      </w:r>
      <w:r w:rsidRPr="00D23B8F">
        <w:rPr>
          <w:rFonts w:cstheme="minorHAnsi"/>
          <w:sz w:val="24"/>
          <w:szCs w:val="24"/>
        </w:rPr>
        <w:t>ixed methods offer the summary and comparative advantages of quantitative data and the richness and depth of qualitative approaches.  Together they enhance the overall data quality that has the potential to inform decision mak</w:t>
      </w:r>
      <w:r w:rsidRPr="00D23B8F">
        <w:rPr>
          <w:rFonts w:cstheme="minorHAnsi"/>
          <w:sz w:val="24"/>
          <w:szCs w:val="24"/>
        </w:rPr>
        <w:lastRenderedPageBreak/>
        <w:t xml:space="preserve">ing.  </w:t>
      </w:r>
      <w:r w:rsidR="0012456A" w:rsidRPr="00D23B8F">
        <w:rPr>
          <w:rFonts w:cstheme="minorHAnsi"/>
          <w:sz w:val="24"/>
          <w:szCs w:val="24"/>
        </w:rPr>
        <w:t xml:space="preserve">There are myriad examples of high quality data available from qualitative studies of Indigenous </w:t>
      </w:r>
      <w:r w:rsidR="003A3EB5" w:rsidRPr="00D23B8F">
        <w:rPr>
          <w:rFonts w:cstheme="minorHAnsi"/>
          <w:sz w:val="24"/>
          <w:szCs w:val="24"/>
        </w:rPr>
        <w:t>h</w:t>
      </w:r>
      <w:r w:rsidR="0012456A" w:rsidRPr="00D23B8F">
        <w:rPr>
          <w:rFonts w:cstheme="minorHAnsi"/>
          <w:sz w:val="24"/>
          <w:szCs w:val="24"/>
        </w:rPr>
        <w:t xml:space="preserve">igher </w:t>
      </w:r>
      <w:r w:rsidR="003A3EB5" w:rsidRPr="00D23B8F">
        <w:rPr>
          <w:rFonts w:cstheme="minorHAnsi"/>
          <w:sz w:val="24"/>
          <w:szCs w:val="24"/>
        </w:rPr>
        <w:t>e</w:t>
      </w:r>
      <w:r w:rsidR="0012456A" w:rsidRPr="00D23B8F">
        <w:rPr>
          <w:rFonts w:cstheme="minorHAnsi"/>
          <w:sz w:val="24"/>
          <w:szCs w:val="24"/>
        </w:rPr>
        <w:t>ducation (</w:t>
      </w:r>
      <w:r w:rsidR="003A3EB5" w:rsidRPr="00D23B8F">
        <w:rPr>
          <w:rFonts w:cstheme="minorHAnsi"/>
          <w:sz w:val="24"/>
          <w:szCs w:val="24"/>
        </w:rPr>
        <w:t>see</w:t>
      </w:r>
      <w:r w:rsidR="0012456A" w:rsidRPr="00D23B8F">
        <w:rPr>
          <w:rFonts w:cstheme="minorHAnsi"/>
          <w:sz w:val="24"/>
          <w:szCs w:val="24"/>
        </w:rPr>
        <w:t xml:space="preserve"> Kinnane et al</w:t>
      </w:r>
      <w:r w:rsidR="005A5FB3" w:rsidRPr="00D23B8F">
        <w:rPr>
          <w:rFonts w:cstheme="minorHAnsi"/>
          <w:sz w:val="24"/>
          <w:szCs w:val="24"/>
        </w:rPr>
        <w:t>.</w:t>
      </w:r>
      <w:r w:rsidR="0012456A" w:rsidRPr="00D23B8F">
        <w:rPr>
          <w:rFonts w:cstheme="minorHAnsi"/>
          <w:sz w:val="24"/>
          <w:szCs w:val="24"/>
        </w:rPr>
        <w:t xml:space="preserve"> </w:t>
      </w:r>
      <w:r w:rsidR="00AE6CA5" w:rsidRPr="00D23B8F">
        <w:rPr>
          <w:rFonts w:cstheme="minorHAnsi"/>
          <w:sz w:val="24"/>
          <w:szCs w:val="24"/>
        </w:rPr>
        <w:t>2014</w:t>
      </w:r>
      <w:r w:rsidR="00B3380E" w:rsidRPr="00D23B8F">
        <w:rPr>
          <w:rFonts w:cstheme="minorHAnsi"/>
          <w:sz w:val="24"/>
          <w:szCs w:val="24"/>
        </w:rPr>
        <w:t>; Kippe</w:t>
      </w:r>
      <w:r w:rsidR="00AE6CA5" w:rsidRPr="00D23B8F">
        <w:rPr>
          <w:rFonts w:cstheme="minorHAnsi"/>
          <w:sz w:val="24"/>
          <w:szCs w:val="24"/>
        </w:rPr>
        <w:t>n</w:t>
      </w:r>
      <w:r w:rsidR="00D9491F" w:rsidRPr="00D23B8F">
        <w:rPr>
          <w:rFonts w:cstheme="minorHAnsi"/>
          <w:sz w:val="24"/>
          <w:szCs w:val="24"/>
        </w:rPr>
        <w:t>,</w:t>
      </w:r>
      <w:r w:rsidR="0012456A" w:rsidRPr="00D23B8F">
        <w:rPr>
          <w:rFonts w:cstheme="minorHAnsi"/>
          <w:sz w:val="24"/>
          <w:szCs w:val="24"/>
        </w:rPr>
        <w:t xml:space="preserve"> Ward</w:t>
      </w:r>
      <w:r w:rsidR="00692904">
        <w:rPr>
          <w:rFonts w:cstheme="minorHAnsi"/>
          <w:sz w:val="24"/>
          <w:szCs w:val="24"/>
        </w:rPr>
        <w:t xml:space="preserve"> and</w:t>
      </w:r>
      <w:r w:rsidR="0012456A" w:rsidRPr="00D23B8F">
        <w:rPr>
          <w:rFonts w:cstheme="minorHAnsi"/>
          <w:sz w:val="24"/>
          <w:szCs w:val="24"/>
        </w:rPr>
        <w:t xml:space="preserve"> Warren 200</w:t>
      </w:r>
      <w:r w:rsidR="00AE6CA5" w:rsidRPr="00D23B8F">
        <w:rPr>
          <w:rFonts w:cstheme="minorHAnsi"/>
          <w:sz w:val="24"/>
          <w:szCs w:val="24"/>
        </w:rPr>
        <w:t>6</w:t>
      </w:r>
      <w:r w:rsidR="0012456A" w:rsidRPr="00D23B8F">
        <w:rPr>
          <w:rFonts w:cstheme="minorHAnsi"/>
          <w:sz w:val="24"/>
          <w:szCs w:val="24"/>
        </w:rPr>
        <w:t xml:space="preserve">; Rigby </w:t>
      </w:r>
      <w:r w:rsidR="00D9491F" w:rsidRPr="00D23B8F">
        <w:rPr>
          <w:rFonts w:cstheme="minorHAnsi"/>
          <w:sz w:val="24"/>
          <w:szCs w:val="24"/>
        </w:rPr>
        <w:t>et al</w:t>
      </w:r>
      <w:r w:rsidR="006C5CD1" w:rsidRPr="00D23B8F">
        <w:rPr>
          <w:rFonts w:cstheme="minorHAnsi"/>
          <w:sz w:val="24"/>
          <w:szCs w:val="24"/>
        </w:rPr>
        <w:t>.</w:t>
      </w:r>
      <w:r w:rsidR="00DC0C9D" w:rsidRPr="00D23B8F">
        <w:rPr>
          <w:rFonts w:cstheme="minorHAnsi"/>
          <w:sz w:val="24"/>
          <w:szCs w:val="24"/>
        </w:rPr>
        <w:t xml:space="preserve"> 2011; Willems 201</w:t>
      </w:r>
      <w:r w:rsidR="00FA32EA" w:rsidRPr="00D23B8F">
        <w:rPr>
          <w:rFonts w:cstheme="minorHAnsi"/>
          <w:sz w:val="24"/>
          <w:szCs w:val="24"/>
        </w:rPr>
        <w:t>2</w:t>
      </w:r>
      <w:r w:rsidR="0012456A" w:rsidRPr="00D23B8F">
        <w:rPr>
          <w:rFonts w:cstheme="minorHAnsi"/>
          <w:sz w:val="24"/>
          <w:szCs w:val="24"/>
        </w:rPr>
        <w:t>).</w:t>
      </w:r>
      <w:r w:rsidR="00DC677C" w:rsidRPr="00D23B8F">
        <w:rPr>
          <w:rFonts w:eastAsiaTheme="minorHAnsi" w:cstheme="minorHAnsi"/>
          <w:sz w:val="32"/>
          <w:szCs w:val="32"/>
          <w:lang w:eastAsia="en-US"/>
        </w:rPr>
        <w:t xml:space="preserve"> </w:t>
      </w:r>
    </w:p>
    <w:p w14:paraId="3F3F7C4F" w14:textId="77777777" w:rsidR="000F79FC" w:rsidRPr="00D23B8F" w:rsidRDefault="000F79FC" w:rsidP="008B1F03">
      <w:pPr>
        <w:pStyle w:val="Heading3"/>
        <w:spacing w:line="480" w:lineRule="auto"/>
        <w:rPr>
          <w:rFonts w:asciiTheme="minorHAnsi" w:hAnsiTheme="minorHAnsi" w:cstheme="minorHAnsi"/>
        </w:rPr>
      </w:pPr>
      <w:r w:rsidRPr="00D23B8F">
        <w:rPr>
          <w:rFonts w:asciiTheme="minorHAnsi" w:hAnsiTheme="minorHAnsi" w:cstheme="minorHAnsi"/>
        </w:rPr>
        <w:lastRenderedPageBreak/>
        <w:t>Data standards</w:t>
      </w:r>
    </w:p>
    <w:p w14:paraId="0190C17D" w14:textId="77777777" w:rsidR="000F79FC" w:rsidRPr="00D23B8F" w:rsidRDefault="000F79FC" w:rsidP="008B1F03">
      <w:pPr>
        <w:spacing w:after="0" w:line="480" w:lineRule="auto"/>
        <w:rPr>
          <w:rFonts w:cstheme="minorHAnsi"/>
          <w:sz w:val="24"/>
          <w:szCs w:val="24"/>
        </w:rPr>
      </w:pPr>
      <w:r w:rsidRPr="00D23B8F">
        <w:rPr>
          <w:rFonts w:cstheme="minorHAnsi"/>
          <w:sz w:val="24"/>
          <w:szCs w:val="24"/>
        </w:rPr>
        <w:t xml:space="preserve">The impact of data standards is highlighted by Adelman (2010) in his illuminating critique of international comparisons.  He argues that indicators misrepresent the situation when they fail to take a truly international perspective on the analysis.  His analysis of the poor quality of indicators </w:t>
      </w:r>
      <w:r w:rsidRPr="00D23B8F">
        <w:rPr>
          <w:rFonts w:cstheme="minorHAnsi"/>
          <w:sz w:val="24"/>
          <w:szCs w:val="24"/>
        </w:rPr>
        <w:lastRenderedPageBreak/>
        <w:t>of participation, completion, and study pathways demonstrates that a relative lack of sophistication in the analysis can have a profound impact on the conclusions drawn that are likely to be almost entirely an artefact of the analysis rather than reflective of authentic trends.  He shows that not including population trends over time (for example) can se</w:t>
      </w:r>
      <w:r w:rsidRPr="00D23B8F">
        <w:rPr>
          <w:rFonts w:cstheme="minorHAnsi"/>
          <w:sz w:val="24"/>
          <w:szCs w:val="24"/>
        </w:rPr>
        <w:lastRenderedPageBreak/>
        <w:t>riously skew the data.  In some countries</w:t>
      </w:r>
      <w:r w:rsidR="003A3EB5" w:rsidRPr="00D23B8F">
        <w:rPr>
          <w:rFonts w:cstheme="minorHAnsi"/>
          <w:sz w:val="24"/>
          <w:szCs w:val="24"/>
        </w:rPr>
        <w:t>,</w:t>
      </w:r>
      <w:r w:rsidRPr="00D23B8F">
        <w:rPr>
          <w:rFonts w:cstheme="minorHAnsi"/>
          <w:sz w:val="24"/>
          <w:szCs w:val="24"/>
        </w:rPr>
        <w:t xml:space="preserve"> the declining proportion of youth means that the denominator falls and over time</w:t>
      </w:r>
      <w:r w:rsidR="00570C86" w:rsidRPr="00D23B8F">
        <w:rPr>
          <w:rFonts w:cstheme="minorHAnsi"/>
          <w:sz w:val="24"/>
          <w:szCs w:val="24"/>
        </w:rPr>
        <w:t>,</w:t>
      </w:r>
      <w:r w:rsidRPr="00D23B8F">
        <w:rPr>
          <w:rFonts w:cstheme="minorHAnsi"/>
          <w:sz w:val="24"/>
          <w:szCs w:val="24"/>
        </w:rPr>
        <w:t xml:space="preserve"> with a lag for numerator changes</w:t>
      </w:r>
      <w:r w:rsidR="00570C86" w:rsidRPr="00D23B8F">
        <w:rPr>
          <w:rFonts w:cstheme="minorHAnsi"/>
          <w:sz w:val="24"/>
          <w:szCs w:val="24"/>
        </w:rPr>
        <w:t>,</w:t>
      </w:r>
      <w:r w:rsidRPr="00D23B8F">
        <w:rPr>
          <w:rFonts w:cstheme="minorHAnsi"/>
          <w:sz w:val="24"/>
          <w:szCs w:val="24"/>
        </w:rPr>
        <w:t xml:space="preserve"> will culminate in participation rates rising dramatically, while </w:t>
      </w:r>
      <w:r w:rsidR="003A3EB5" w:rsidRPr="00D23B8F">
        <w:rPr>
          <w:rFonts w:cstheme="minorHAnsi"/>
          <w:sz w:val="24"/>
          <w:szCs w:val="24"/>
        </w:rPr>
        <w:t xml:space="preserve">in </w:t>
      </w:r>
      <w:r w:rsidRPr="00D23B8F">
        <w:rPr>
          <w:rFonts w:cstheme="minorHAnsi"/>
          <w:sz w:val="24"/>
          <w:szCs w:val="24"/>
        </w:rPr>
        <w:t>those countries where there is a rise in the youth population</w:t>
      </w:r>
      <w:r w:rsidR="003A3EB5" w:rsidRPr="00D23B8F">
        <w:rPr>
          <w:rFonts w:cstheme="minorHAnsi"/>
          <w:sz w:val="24"/>
          <w:szCs w:val="24"/>
        </w:rPr>
        <w:t>,</w:t>
      </w:r>
      <w:r w:rsidRPr="00D23B8F">
        <w:rPr>
          <w:rFonts w:cstheme="minorHAnsi"/>
          <w:sz w:val="24"/>
          <w:szCs w:val="24"/>
        </w:rPr>
        <w:t xml:space="preserve"> the opposite will result (Adelman 2010). Both are simply an artefact of the </w:t>
      </w:r>
      <w:r w:rsidR="00B8227B" w:rsidRPr="00D23B8F">
        <w:rPr>
          <w:rFonts w:cstheme="minorHAnsi"/>
          <w:sz w:val="24"/>
          <w:szCs w:val="24"/>
        </w:rPr>
        <w:t>analysis</w:t>
      </w:r>
      <w:r w:rsidRPr="00D23B8F">
        <w:rPr>
          <w:rFonts w:cstheme="minorHAnsi"/>
          <w:sz w:val="24"/>
          <w:szCs w:val="24"/>
        </w:rPr>
        <w:t xml:space="preserve">. </w:t>
      </w:r>
    </w:p>
    <w:p w14:paraId="295B8345" w14:textId="77777777" w:rsidR="00865222" w:rsidRPr="00D23B8F" w:rsidRDefault="00865222" w:rsidP="008B1F03">
      <w:pPr>
        <w:spacing w:after="0" w:line="480" w:lineRule="auto"/>
        <w:rPr>
          <w:rFonts w:cstheme="minorHAnsi"/>
          <w:b/>
          <w:sz w:val="24"/>
          <w:szCs w:val="24"/>
        </w:rPr>
      </w:pPr>
    </w:p>
    <w:p w14:paraId="36C7C403" w14:textId="77777777" w:rsidR="00625285" w:rsidRPr="00D23B8F" w:rsidRDefault="00625285" w:rsidP="008B1F03">
      <w:pPr>
        <w:spacing w:after="0" w:line="480" w:lineRule="auto"/>
        <w:rPr>
          <w:rFonts w:cstheme="minorHAnsi"/>
          <w:sz w:val="24"/>
          <w:szCs w:val="24"/>
        </w:rPr>
      </w:pPr>
      <w:r w:rsidRPr="00D23B8F">
        <w:rPr>
          <w:rFonts w:cstheme="minorHAnsi"/>
          <w:sz w:val="24"/>
          <w:szCs w:val="24"/>
        </w:rPr>
        <w:t>It is also important to acknowledge the impact of the consumers on data quality standards.  St</w:t>
      </w:r>
      <w:r w:rsidR="00A070D4" w:rsidRPr="00D23B8F">
        <w:rPr>
          <w:rFonts w:cstheme="minorHAnsi"/>
          <w:sz w:val="24"/>
          <w:szCs w:val="24"/>
        </w:rPr>
        <w:t>atistically illiterate</w:t>
      </w:r>
      <w:r w:rsidRPr="00D23B8F">
        <w:rPr>
          <w:rFonts w:cstheme="minorHAnsi"/>
          <w:sz w:val="24"/>
          <w:szCs w:val="24"/>
        </w:rPr>
        <w:t xml:space="preserve"> consumers of data and statistics are </w:t>
      </w:r>
      <w:r w:rsidR="00570C86" w:rsidRPr="00D23B8F">
        <w:rPr>
          <w:rFonts w:cstheme="minorHAnsi"/>
          <w:sz w:val="24"/>
          <w:szCs w:val="24"/>
        </w:rPr>
        <w:t>essentially</w:t>
      </w:r>
      <w:r w:rsidRPr="00D23B8F">
        <w:rPr>
          <w:rFonts w:cstheme="minorHAnsi"/>
          <w:sz w:val="24"/>
          <w:szCs w:val="24"/>
        </w:rPr>
        <w:t xml:space="preserve"> </w:t>
      </w:r>
      <w:r w:rsidR="00A070D4" w:rsidRPr="00D23B8F">
        <w:rPr>
          <w:rFonts w:cstheme="minorHAnsi"/>
          <w:sz w:val="24"/>
          <w:szCs w:val="24"/>
        </w:rPr>
        <w:t xml:space="preserve">poorly calibrated instruments </w:t>
      </w:r>
      <w:r w:rsidR="00570C86" w:rsidRPr="00D23B8F">
        <w:rPr>
          <w:rFonts w:cstheme="minorHAnsi"/>
          <w:sz w:val="24"/>
          <w:szCs w:val="24"/>
        </w:rPr>
        <w:t>with</w:t>
      </w:r>
      <w:r w:rsidR="00E6480B" w:rsidRPr="00D23B8F">
        <w:rPr>
          <w:rFonts w:cstheme="minorHAnsi"/>
          <w:sz w:val="24"/>
          <w:szCs w:val="24"/>
        </w:rPr>
        <w:t xml:space="preserve"> </w:t>
      </w:r>
      <w:r w:rsidR="00A070D4" w:rsidRPr="00D23B8F">
        <w:rPr>
          <w:rFonts w:cstheme="minorHAnsi"/>
          <w:sz w:val="24"/>
          <w:szCs w:val="24"/>
        </w:rPr>
        <w:t xml:space="preserve">the capacity to significantly undermine data quality by promulgating the naïve, the scientific </w:t>
      </w:r>
      <w:r w:rsidR="00A070D4" w:rsidRPr="00D23B8F">
        <w:rPr>
          <w:rFonts w:cstheme="minorHAnsi"/>
          <w:sz w:val="24"/>
          <w:szCs w:val="24"/>
        </w:rPr>
        <w:lastRenderedPageBreak/>
        <w:t>and the deceptive fallacies.  This degradation of the trustworthiness and credibility of the data can spread unquestioned throughout interpretive/epistemic communities</w:t>
      </w:r>
      <w:r w:rsidR="006431EC" w:rsidRPr="00D23B8F">
        <w:rPr>
          <w:rFonts w:cstheme="minorHAnsi"/>
          <w:sz w:val="24"/>
          <w:szCs w:val="24"/>
        </w:rPr>
        <w:t>,</w:t>
      </w:r>
      <w:r w:rsidR="00A070D4" w:rsidRPr="00D23B8F">
        <w:rPr>
          <w:rFonts w:cstheme="minorHAnsi"/>
          <w:sz w:val="24"/>
          <w:szCs w:val="24"/>
        </w:rPr>
        <w:t xml:space="preserve"> and in time assume a veneer of truth that is unsustainable under a more critically literate gaze.  For example</w:t>
      </w:r>
      <w:r w:rsidR="006431EC" w:rsidRPr="00D23B8F">
        <w:rPr>
          <w:rFonts w:cstheme="minorHAnsi"/>
          <w:sz w:val="24"/>
          <w:szCs w:val="24"/>
        </w:rPr>
        <w:t>,</w:t>
      </w:r>
      <w:r w:rsidR="00A070D4" w:rsidRPr="00D23B8F">
        <w:rPr>
          <w:rFonts w:cstheme="minorHAnsi"/>
          <w:sz w:val="24"/>
          <w:szCs w:val="24"/>
        </w:rPr>
        <w:t xml:space="preserve"> to quote figures for </w:t>
      </w:r>
      <w:r w:rsidR="006431EC" w:rsidRPr="00D23B8F">
        <w:rPr>
          <w:rFonts w:cstheme="minorHAnsi"/>
          <w:sz w:val="24"/>
          <w:szCs w:val="24"/>
        </w:rPr>
        <w:t>self-</w:t>
      </w:r>
      <w:r w:rsidR="00A070D4" w:rsidRPr="00D23B8F">
        <w:rPr>
          <w:rFonts w:cstheme="minorHAnsi"/>
          <w:sz w:val="24"/>
          <w:szCs w:val="24"/>
        </w:rPr>
        <w:t xml:space="preserve">identification in higher education without a full </w:t>
      </w:r>
      <w:r w:rsidR="00A070D4" w:rsidRPr="00D23B8F">
        <w:rPr>
          <w:rFonts w:cstheme="minorHAnsi"/>
          <w:sz w:val="24"/>
          <w:szCs w:val="24"/>
        </w:rPr>
        <w:lastRenderedPageBreak/>
        <w:t xml:space="preserve">appreciation of the cultural, definitional and statistical issues underpinning the concept may lead to misapprehensions that perpetuate deficit approaches to Aboriginal and Torres Strait </w:t>
      </w:r>
      <w:r w:rsidR="002E6747">
        <w:rPr>
          <w:rFonts w:cstheme="minorHAnsi"/>
          <w:sz w:val="24"/>
          <w:szCs w:val="24"/>
        </w:rPr>
        <w:t>I</w:t>
      </w:r>
      <w:r w:rsidR="00A070D4" w:rsidRPr="00D23B8F">
        <w:rPr>
          <w:rFonts w:cstheme="minorHAnsi"/>
          <w:sz w:val="24"/>
          <w:szCs w:val="24"/>
        </w:rPr>
        <w:t xml:space="preserve">slander participation. </w:t>
      </w:r>
    </w:p>
    <w:p w14:paraId="28B7732E" w14:textId="77777777" w:rsidR="00A070D4" w:rsidRPr="00D23B8F" w:rsidRDefault="00A070D4" w:rsidP="008B1F03">
      <w:pPr>
        <w:spacing w:after="0" w:line="480" w:lineRule="auto"/>
        <w:rPr>
          <w:rFonts w:cstheme="minorHAnsi"/>
          <w:sz w:val="24"/>
          <w:szCs w:val="24"/>
        </w:rPr>
      </w:pPr>
    </w:p>
    <w:p w14:paraId="20CA83D4" w14:textId="77777777" w:rsidR="00A070D4" w:rsidRPr="00D23B8F" w:rsidRDefault="00A070D4" w:rsidP="008B1F03">
      <w:pPr>
        <w:spacing w:after="0" w:line="480" w:lineRule="auto"/>
        <w:rPr>
          <w:rFonts w:cstheme="minorHAnsi"/>
          <w:sz w:val="24"/>
          <w:szCs w:val="24"/>
        </w:rPr>
      </w:pPr>
      <w:r w:rsidRPr="00D23B8F">
        <w:rPr>
          <w:rFonts w:cstheme="minorHAnsi"/>
          <w:sz w:val="24"/>
          <w:szCs w:val="24"/>
        </w:rPr>
        <w:t>At a more technical level</w:t>
      </w:r>
      <w:r w:rsidR="00145FCE" w:rsidRPr="00D23B8F">
        <w:rPr>
          <w:rFonts w:cstheme="minorHAnsi"/>
          <w:sz w:val="24"/>
          <w:szCs w:val="24"/>
        </w:rPr>
        <w:t>,</w:t>
      </w:r>
      <w:r w:rsidRPr="00D23B8F">
        <w:rPr>
          <w:rFonts w:cstheme="minorHAnsi"/>
          <w:sz w:val="24"/>
          <w:szCs w:val="24"/>
        </w:rPr>
        <w:t xml:space="preserve"> few consumers of data and statistics take the time to fully comprehend the data assumptions </w:t>
      </w:r>
      <w:r w:rsidRPr="00D23B8F">
        <w:rPr>
          <w:rFonts w:cstheme="minorHAnsi"/>
          <w:sz w:val="24"/>
          <w:szCs w:val="24"/>
        </w:rPr>
        <w:lastRenderedPageBreak/>
        <w:t xml:space="preserve">and treatments that underpin many (if not all) reported statistics.  All statistical </w:t>
      </w:r>
      <w:r w:rsidR="006B33E8" w:rsidRPr="00D23B8F">
        <w:rPr>
          <w:rFonts w:cstheme="minorHAnsi"/>
          <w:sz w:val="24"/>
          <w:szCs w:val="24"/>
        </w:rPr>
        <w:t>analyses</w:t>
      </w:r>
      <w:r w:rsidRPr="00D23B8F">
        <w:rPr>
          <w:rFonts w:cstheme="minorHAnsi"/>
          <w:sz w:val="24"/>
          <w:szCs w:val="24"/>
        </w:rPr>
        <w:t xml:space="preserve"> embody choice.  The choice not to report small sample sizes for statistical or ethical reasons has implications for the cultural sensitivity of the measure re</w:t>
      </w:r>
      <w:r w:rsidR="006B33E8" w:rsidRPr="00D23B8F">
        <w:rPr>
          <w:rFonts w:cstheme="minorHAnsi"/>
          <w:sz w:val="24"/>
          <w:szCs w:val="24"/>
        </w:rPr>
        <w:t>g</w:t>
      </w:r>
      <w:r w:rsidRPr="00D23B8F">
        <w:rPr>
          <w:rFonts w:cstheme="minorHAnsi"/>
          <w:sz w:val="24"/>
          <w:szCs w:val="24"/>
        </w:rPr>
        <w:t>a</w:t>
      </w:r>
      <w:r w:rsidR="006B33E8" w:rsidRPr="00D23B8F">
        <w:rPr>
          <w:rFonts w:cstheme="minorHAnsi"/>
          <w:sz w:val="24"/>
          <w:szCs w:val="24"/>
        </w:rPr>
        <w:t>r</w:t>
      </w:r>
      <w:r w:rsidRPr="00D23B8F">
        <w:rPr>
          <w:rFonts w:cstheme="minorHAnsi"/>
          <w:sz w:val="24"/>
          <w:szCs w:val="24"/>
        </w:rPr>
        <w:t>ding community preference for analysis at th</w:t>
      </w:r>
      <w:r w:rsidR="006B33E8" w:rsidRPr="00D23B8F">
        <w:rPr>
          <w:rFonts w:cstheme="minorHAnsi"/>
          <w:sz w:val="24"/>
          <w:szCs w:val="24"/>
        </w:rPr>
        <w:t>e</w:t>
      </w:r>
      <w:r w:rsidRPr="00D23B8F">
        <w:rPr>
          <w:rFonts w:cstheme="minorHAnsi"/>
          <w:sz w:val="24"/>
          <w:szCs w:val="24"/>
        </w:rPr>
        <w:t xml:space="preserve"> level of kinship or language groups for example.  In </w:t>
      </w:r>
      <w:r w:rsidR="006B33E8" w:rsidRPr="00D23B8F">
        <w:rPr>
          <w:rFonts w:cstheme="minorHAnsi"/>
          <w:sz w:val="24"/>
          <w:szCs w:val="24"/>
        </w:rPr>
        <w:t>statistical</w:t>
      </w:r>
      <w:r w:rsidRPr="00D23B8F">
        <w:rPr>
          <w:rFonts w:cstheme="minorHAnsi"/>
          <w:sz w:val="24"/>
          <w:szCs w:val="24"/>
        </w:rPr>
        <w:t xml:space="preserve"> literacy terms</w:t>
      </w:r>
      <w:r w:rsidR="00276720" w:rsidRPr="00D23B8F">
        <w:rPr>
          <w:rFonts w:cstheme="minorHAnsi"/>
          <w:sz w:val="24"/>
          <w:szCs w:val="24"/>
        </w:rPr>
        <w:t>,</w:t>
      </w:r>
      <w:r w:rsidRPr="00D23B8F">
        <w:rPr>
          <w:rFonts w:cstheme="minorHAnsi"/>
          <w:sz w:val="24"/>
          <w:szCs w:val="24"/>
        </w:rPr>
        <w:t xml:space="preserve"> it is not the choice per se that </w:t>
      </w:r>
      <w:r w:rsidR="006431EC" w:rsidRPr="00D23B8F">
        <w:rPr>
          <w:rFonts w:cstheme="minorHAnsi"/>
          <w:sz w:val="24"/>
          <w:szCs w:val="24"/>
        </w:rPr>
        <w:t xml:space="preserve">affects </w:t>
      </w:r>
      <w:r w:rsidRPr="00D23B8F">
        <w:rPr>
          <w:rFonts w:cstheme="minorHAnsi"/>
          <w:sz w:val="24"/>
          <w:szCs w:val="24"/>
        </w:rPr>
        <w:t xml:space="preserve">data </w:t>
      </w:r>
      <w:r w:rsidRPr="00D23B8F">
        <w:rPr>
          <w:rFonts w:cstheme="minorHAnsi"/>
          <w:sz w:val="24"/>
          <w:szCs w:val="24"/>
        </w:rPr>
        <w:lastRenderedPageBreak/>
        <w:t>quality</w:t>
      </w:r>
      <w:r w:rsidR="006B33E8" w:rsidRPr="00D23B8F">
        <w:rPr>
          <w:rFonts w:cstheme="minorHAnsi"/>
          <w:sz w:val="24"/>
          <w:szCs w:val="24"/>
        </w:rPr>
        <w:t xml:space="preserve"> in the public </w:t>
      </w:r>
      <w:r w:rsidR="00276720" w:rsidRPr="00D23B8F">
        <w:rPr>
          <w:rFonts w:cstheme="minorHAnsi"/>
          <w:sz w:val="24"/>
          <w:szCs w:val="24"/>
        </w:rPr>
        <w:t>realm;</w:t>
      </w:r>
      <w:r w:rsidR="006B33E8" w:rsidRPr="00D23B8F">
        <w:rPr>
          <w:rFonts w:cstheme="minorHAnsi"/>
          <w:sz w:val="24"/>
          <w:szCs w:val="24"/>
        </w:rPr>
        <w:t xml:space="preserve"> it is the failure to appreciate the implications of often unavoidable choices. </w:t>
      </w:r>
      <w:r w:rsidR="0099435C" w:rsidRPr="00D23B8F">
        <w:rPr>
          <w:rFonts w:cstheme="minorHAnsi"/>
          <w:sz w:val="24"/>
          <w:szCs w:val="24"/>
        </w:rPr>
        <w:t xml:space="preserve"> </w:t>
      </w:r>
    </w:p>
    <w:p w14:paraId="143026DF" w14:textId="77777777" w:rsidR="000F79FC" w:rsidRPr="00D23B8F" w:rsidRDefault="000F79FC" w:rsidP="008B1F03">
      <w:pPr>
        <w:pStyle w:val="Heading3"/>
        <w:spacing w:line="480" w:lineRule="auto"/>
        <w:rPr>
          <w:rFonts w:asciiTheme="minorHAnsi" w:hAnsiTheme="minorHAnsi" w:cstheme="minorHAnsi"/>
        </w:rPr>
      </w:pPr>
      <w:r w:rsidRPr="00D23B8F">
        <w:rPr>
          <w:rFonts w:asciiTheme="minorHAnsi" w:hAnsiTheme="minorHAnsi" w:cstheme="minorHAnsi"/>
        </w:rPr>
        <w:t>Data storage and security</w:t>
      </w:r>
    </w:p>
    <w:p w14:paraId="164FFE19" w14:textId="30C9DF11" w:rsidR="000F79FC" w:rsidRPr="00D23B8F" w:rsidRDefault="00211E96" w:rsidP="008B1F03">
      <w:pPr>
        <w:spacing w:after="0" w:line="480" w:lineRule="auto"/>
        <w:rPr>
          <w:rFonts w:cstheme="minorHAnsi"/>
          <w:sz w:val="24"/>
          <w:szCs w:val="24"/>
        </w:rPr>
      </w:pPr>
      <w:r w:rsidRPr="00D23B8F">
        <w:rPr>
          <w:rFonts w:cstheme="minorHAnsi"/>
          <w:sz w:val="24"/>
          <w:szCs w:val="24"/>
        </w:rPr>
        <w:t>Data storage and security is essential to data quality and has significant cultural dimension</w:t>
      </w:r>
      <w:r w:rsidR="006D26F7" w:rsidRPr="00D23B8F">
        <w:rPr>
          <w:rFonts w:cstheme="minorHAnsi"/>
          <w:sz w:val="24"/>
          <w:szCs w:val="24"/>
        </w:rPr>
        <w:t>s</w:t>
      </w:r>
      <w:r w:rsidRPr="00D23B8F">
        <w:rPr>
          <w:rFonts w:cstheme="minorHAnsi"/>
          <w:sz w:val="24"/>
          <w:szCs w:val="24"/>
        </w:rPr>
        <w:t xml:space="preserve"> that are a consequence of poor research and data collection practices.  Aboriginal </w:t>
      </w:r>
      <w:r w:rsidR="009D3FD2">
        <w:rPr>
          <w:rFonts w:cstheme="minorHAnsi"/>
          <w:sz w:val="24"/>
          <w:szCs w:val="24"/>
        </w:rPr>
        <w:t>and Torres Strait I</w:t>
      </w:r>
      <w:r w:rsidR="009D3FD2" w:rsidRPr="00D23B8F">
        <w:rPr>
          <w:rFonts w:cstheme="minorHAnsi"/>
          <w:sz w:val="24"/>
          <w:szCs w:val="24"/>
        </w:rPr>
        <w:t>slander people</w:t>
      </w:r>
      <w:r w:rsidR="009D3FD2">
        <w:rPr>
          <w:rFonts w:cstheme="minorHAnsi"/>
          <w:sz w:val="24"/>
          <w:szCs w:val="24"/>
        </w:rPr>
        <w:t>s</w:t>
      </w:r>
      <w:r w:rsidRPr="00D23B8F">
        <w:rPr>
          <w:rFonts w:cstheme="minorHAnsi"/>
          <w:sz w:val="24"/>
          <w:szCs w:val="24"/>
        </w:rPr>
        <w:t xml:space="preserve"> and communities have been </w:t>
      </w:r>
      <w:r w:rsidR="009A67BE">
        <w:rPr>
          <w:rFonts w:cstheme="minorHAnsi"/>
          <w:sz w:val="24"/>
          <w:szCs w:val="24"/>
        </w:rPr>
        <w:lastRenderedPageBreak/>
        <w:t>‘</w:t>
      </w:r>
      <w:r w:rsidRPr="00D23B8F">
        <w:rPr>
          <w:rFonts w:cstheme="minorHAnsi"/>
          <w:sz w:val="24"/>
          <w:szCs w:val="24"/>
        </w:rPr>
        <w:t>strip</w:t>
      </w:r>
      <w:r w:rsidR="006431EC" w:rsidRPr="00D23B8F">
        <w:rPr>
          <w:rFonts w:cstheme="minorHAnsi"/>
          <w:sz w:val="24"/>
          <w:szCs w:val="24"/>
        </w:rPr>
        <w:t>-</w:t>
      </w:r>
      <w:r w:rsidRPr="00D23B8F">
        <w:rPr>
          <w:rFonts w:cstheme="minorHAnsi"/>
          <w:sz w:val="24"/>
          <w:szCs w:val="24"/>
        </w:rPr>
        <w:t>mined</w:t>
      </w:r>
      <w:r w:rsidR="009A67BE">
        <w:rPr>
          <w:rFonts w:cstheme="minorHAnsi"/>
          <w:sz w:val="24"/>
          <w:szCs w:val="24"/>
        </w:rPr>
        <w:t>’</w:t>
      </w:r>
      <w:r w:rsidRPr="00D23B8F">
        <w:rPr>
          <w:rFonts w:cstheme="minorHAnsi"/>
          <w:sz w:val="24"/>
          <w:szCs w:val="24"/>
        </w:rPr>
        <w:t xml:space="preserve"> for research purposes for decades leading to very low levels of trust and confidence in data and statistics </w:t>
      </w:r>
      <w:r w:rsidR="00014A14">
        <w:rPr>
          <w:rFonts w:cstheme="minorHAnsi"/>
          <w:sz w:val="24"/>
          <w:szCs w:val="24"/>
        </w:rPr>
        <w:t xml:space="preserve">that </w:t>
      </w:r>
      <w:r w:rsidR="00254C3A">
        <w:rPr>
          <w:rFonts w:cstheme="minorHAnsi"/>
          <w:sz w:val="24"/>
          <w:szCs w:val="24"/>
        </w:rPr>
        <w:t xml:space="preserve">are used to </w:t>
      </w:r>
      <w:r w:rsidR="00014A14">
        <w:rPr>
          <w:rFonts w:cstheme="minorHAnsi"/>
          <w:sz w:val="24"/>
          <w:szCs w:val="24"/>
        </w:rPr>
        <w:t>define</w:t>
      </w:r>
      <w:r w:rsidRPr="00D23B8F">
        <w:rPr>
          <w:rFonts w:cstheme="minorHAnsi"/>
          <w:sz w:val="24"/>
          <w:szCs w:val="24"/>
        </w:rPr>
        <w:t xml:space="preserve"> their communities</w:t>
      </w:r>
      <w:r w:rsidR="009A67BE">
        <w:rPr>
          <w:rFonts w:cstheme="minorHAnsi"/>
          <w:sz w:val="24"/>
          <w:szCs w:val="24"/>
        </w:rPr>
        <w:t xml:space="preserve"> </w:t>
      </w:r>
      <w:r w:rsidR="00B93B78">
        <w:rPr>
          <w:rFonts w:cstheme="minorHAnsi"/>
          <w:sz w:val="24"/>
          <w:szCs w:val="24"/>
        </w:rPr>
        <w:t>(Walter and Andersen, 2013)</w:t>
      </w:r>
      <w:r w:rsidR="002E6747">
        <w:rPr>
          <w:rFonts w:cstheme="minorHAnsi"/>
          <w:sz w:val="24"/>
          <w:szCs w:val="24"/>
        </w:rPr>
        <w:t>.</w:t>
      </w:r>
      <w:r w:rsidRPr="00D23B8F">
        <w:rPr>
          <w:rFonts w:cstheme="minorHAnsi"/>
          <w:sz w:val="24"/>
          <w:szCs w:val="24"/>
        </w:rPr>
        <w:t xml:space="preserve"> </w:t>
      </w:r>
      <w:r w:rsidR="00AF31CC" w:rsidRPr="00D23B8F">
        <w:rPr>
          <w:rFonts w:cstheme="minorHAnsi"/>
          <w:sz w:val="24"/>
          <w:szCs w:val="24"/>
        </w:rPr>
        <w:t xml:space="preserve">This issue </w:t>
      </w:r>
      <w:r w:rsidRPr="00D23B8F">
        <w:rPr>
          <w:rFonts w:cstheme="minorHAnsi"/>
          <w:sz w:val="24"/>
          <w:szCs w:val="24"/>
        </w:rPr>
        <w:t xml:space="preserve">clearly </w:t>
      </w:r>
      <w:r w:rsidR="00AF31CC" w:rsidRPr="00D23B8F">
        <w:rPr>
          <w:rFonts w:cstheme="minorHAnsi"/>
          <w:sz w:val="24"/>
          <w:szCs w:val="24"/>
        </w:rPr>
        <w:t xml:space="preserve">goes beyond the </w:t>
      </w:r>
      <w:r w:rsidR="00B505E0" w:rsidRPr="00D23B8F">
        <w:rPr>
          <w:rFonts w:cstheme="minorHAnsi"/>
          <w:sz w:val="24"/>
          <w:szCs w:val="24"/>
        </w:rPr>
        <w:t>administrative and legal requirements for confidentiality to include the culturally sensitive issue of ownership and stewardship of data that impact</w:t>
      </w:r>
      <w:r w:rsidR="00B93B78">
        <w:rPr>
          <w:rFonts w:cstheme="minorHAnsi"/>
          <w:sz w:val="24"/>
          <w:szCs w:val="24"/>
        </w:rPr>
        <w:t>s Aboriginal and Torres Strait I</w:t>
      </w:r>
      <w:r w:rsidR="00B505E0" w:rsidRPr="00D23B8F">
        <w:rPr>
          <w:rFonts w:cstheme="minorHAnsi"/>
          <w:sz w:val="24"/>
          <w:szCs w:val="24"/>
        </w:rPr>
        <w:t xml:space="preserve">slander </w:t>
      </w:r>
      <w:r w:rsidR="00B505E0" w:rsidRPr="00D23B8F">
        <w:rPr>
          <w:rFonts w:cstheme="minorHAnsi"/>
          <w:sz w:val="24"/>
          <w:szCs w:val="24"/>
        </w:rPr>
        <w:lastRenderedPageBreak/>
        <w:t>people</w:t>
      </w:r>
      <w:r w:rsidR="00B93B78">
        <w:rPr>
          <w:rFonts w:cstheme="minorHAnsi"/>
          <w:sz w:val="24"/>
          <w:szCs w:val="24"/>
        </w:rPr>
        <w:t>s</w:t>
      </w:r>
      <w:r w:rsidR="00B505E0" w:rsidRPr="00D23B8F">
        <w:rPr>
          <w:rFonts w:cstheme="minorHAnsi"/>
          <w:sz w:val="24"/>
          <w:szCs w:val="24"/>
        </w:rPr>
        <w:t xml:space="preserve">.  An authentic sense of ownership and stewardship </w:t>
      </w:r>
      <w:r w:rsidR="00014A14">
        <w:rPr>
          <w:rFonts w:cstheme="minorHAnsi"/>
          <w:sz w:val="24"/>
          <w:szCs w:val="24"/>
        </w:rPr>
        <w:t xml:space="preserve">is needed to </w:t>
      </w:r>
      <w:r w:rsidR="00B505E0" w:rsidRPr="00D23B8F">
        <w:rPr>
          <w:rFonts w:cstheme="minorHAnsi"/>
          <w:sz w:val="24"/>
          <w:szCs w:val="24"/>
        </w:rPr>
        <w:t xml:space="preserve">enhance trust and confidence. </w:t>
      </w:r>
      <w:r w:rsidRPr="00D23B8F">
        <w:rPr>
          <w:rFonts w:cstheme="minorHAnsi"/>
          <w:sz w:val="24"/>
          <w:szCs w:val="24"/>
        </w:rPr>
        <w:t xml:space="preserve"> </w:t>
      </w:r>
    </w:p>
    <w:p w14:paraId="15D3CAB1" w14:textId="77777777" w:rsidR="000F79FC" w:rsidRPr="00D23B8F" w:rsidRDefault="000F79FC" w:rsidP="008B1F03">
      <w:pPr>
        <w:pStyle w:val="Heading3"/>
        <w:spacing w:line="480" w:lineRule="auto"/>
        <w:rPr>
          <w:rFonts w:asciiTheme="minorHAnsi" w:hAnsiTheme="minorHAnsi" w:cstheme="minorHAnsi"/>
        </w:rPr>
      </w:pPr>
      <w:r w:rsidRPr="00D23B8F">
        <w:rPr>
          <w:rFonts w:asciiTheme="minorHAnsi" w:hAnsiTheme="minorHAnsi" w:cstheme="minorHAnsi"/>
        </w:rPr>
        <w:t xml:space="preserve">Data </w:t>
      </w:r>
      <w:r w:rsidR="00145FCE" w:rsidRPr="00D23B8F">
        <w:rPr>
          <w:rFonts w:asciiTheme="minorHAnsi" w:hAnsiTheme="minorHAnsi" w:cstheme="minorHAnsi"/>
        </w:rPr>
        <w:t>determinism</w:t>
      </w:r>
    </w:p>
    <w:p w14:paraId="7913B852" w14:textId="2163880D" w:rsidR="000F79FC" w:rsidRPr="00D23B8F" w:rsidRDefault="000F79FC" w:rsidP="008B1F03">
      <w:pPr>
        <w:spacing w:after="0" w:line="480" w:lineRule="auto"/>
        <w:rPr>
          <w:rFonts w:cstheme="minorHAnsi"/>
          <w:sz w:val="24"/>
          <w:szCs w:val="24"/>
        </w:rPr>
      </w:pPr>
      <w:r w:rsidRPr="00D23B8F">
        <w:rPr>
          <w:rFonts w:cstheme="minorHAnsi"/>
          <w:sz w:val="24"/>
          <w:szCs w:val="24"/>
        </w:rPr>
        <w:t xml:space="preserve">Data determinism refers to the tendency to use a scattergun rather than a strategic and </w:t>
      </w:r>
      <w:r w:rsidR="006431EC" w:rsidRPr="00D23B8F">
        <w:rPr>
          <w:rFonts w:cstheme="minorHAnsi"/>
          <w:sz w:val="24"/>
          <w:szCs w:val="24"/>
        </w:rPr>
        <w:t>well-</w:t>
      </w:r>
      <w:r w:rsidRPr="00D23B8F">
        <w:rPr>
          <w:rFonts w:cstheme="minorHAnsi"/>
          <w:sz w:val="24"/>
          <w:szCs w:val="24"/>
        </w:rPr>
        <w:t>informed approach to data collection.  We should strategically and purposefully decide what data are required</w:t>
      </w:r>
      <w:r w:rsidR="006431EC" w:rsidRPr="00D23B8F">
        <w:rPr>
          <w:rFonts w:cstheme="minorHAnsi"/>
          <w:sz w:val="24"/>
          <w:szCs w:val="24"/>
        </w:rPr>
        <w:t xml:space="preserve"> and</w:t>
      </w:r>
      <w:r w:rsidRPr="00D23B8F">
        <w:rPr>
          <w:rFonts w:cstheme="minorHAnsi"/>
          <w:sz w:val="24"/>
          <w:szCs w:val="24"/>
        </w:rPr>
        <w:t xml:space="preserve"> then set about seeking </w:t>
      </w:r>
      <w:r w:rsidR="006431EC" w:rsidRPr="00D23B8F">
        <w:rPr>
          <w:rFonts w:cstheme="minorHAnsi"/>
          <w:sz w:val="24"/>
          <w:szCs w:val="24"/>
        </w:rPr>
        <w:t xml:space="preserve">it </w:t>
      </w:r>
      <w:r w:rsidRPr="00D23B8F">
        <w:rPr>
          <w:rFonts w:cstheme="minorHAnsi"/>
          <w:sz w:val="24"/>
          <w:szCs w:val="24"/>
        </w:rPr>
        <w:t xml:space="preserve">to the </w:t>
      </w:r>
      <w:r w:rsidRPr="00D23B8F">
        <w:rPr>
          <w:rFonts w:cstheme="minorHAnsi"/>
          <w:sz w:val="24"/>
          <w:szCs w:val="24"/>
        </w:rPr>
        <w:lastRenderedPageBreak/>
        <w:t xml:space="preserve">highest possible standard. </w:t>
      </w:r>
      <w:r w:rsidR="00CF0CBB" w:rsidRPr="00D23B8F">
        <w:rPr>
          <w:rFonts w:cstheme="minorHAnsi"/>
          <w:sz w:val="24"/>
          <w:szCs w:val="24"/>
        </w:rPr>
        <w:t xml:space="preserve"> </w:t>
      </w:r>
      <w:r w:rsidR="00880B56" w:rsidRPr="00D23B8F">
        <w:rPr>
          <w:rFonts w:cstheme="minorHAnsi"/>
          <w:sz w:val="24"/>
          <w:szCs w:val="24"/>
        </w:rPr>
        <w:t>Do not let the data lead.</w:t>
      </w:r>
      <w:r w:rsidR="00CF7910" w:rsidRPr="00D23B8F">
        <w:rPr>
          <w:rFonts w:cstheme="minorHAnsi"/>
          <w:sz w:val="24"/>
          <w:szCs w:val="24"/>
        </w:rPr>
        <w:t xml:space="preserve"> </w:t>
      </w:r>
      <w:r w:rsidRPr="00D23B8F">
        <w:rPr>
          <w:rFonts w:cstheme="minorHAnsi"/>
          <w:sz w:val="24"/>
          <w:szCs w:val="24"/>
        </w:rPr>
        <w:t>As one wry observer noted</w:t>
      </w:r>
      <w:r w:rsidR="00CF0CBB" w:rsidRPr="00D23B8F">
        <w:rPr>
          <w:rFonts w:cstheme="minorHAnsi"/>
          <w:sz w:val="24"/>
          <w:szCs w:val="24"/>
        </w:rPr>
        <w:t>:</w:t>
      </w:r>
      <w:r w:rsidRPr="00D23B8F">
        <w:rPr>
          <w:rFonts w:cstheme="minorHAnsi"/>
          <w:sz w:val="24"/>
          <w:szCs w:val="24"/>
        </w:rPr>
        <w:t xml:space="preserve"> </w:t>
      </w:r>
      <w:r w:rsidR="00441CFD">
        <w:rPr>
          <w:rFonts w:cstheme="minorHAnsi"/>
          <w:sz w:val="24"/>
          <w:szCs w:val="24"/>
        </w:rPr>
        <w:t>‘</w:t>
      </w:r>
      <w:r w:rsidRPr="00D23B8F">
        <w:rPr>
          <w:rFonts w:cstheme="minorHAnsi"/>
          <w:sz w:val="24"/>
          <w:szCs w:val="24"/>
        </w:rPr>
        <w:t>if you torture the data long enough it will confess</w:t>
      </w:r>
      <w:r w:rsidR="00441CFD">
        <w:rPr>
          <w:rFonts w:cstheme="minorHAnsi"/>
          <w:sz w:val="24"/>
          <w:szCs w:val="24"/>
        </w:rPr>
        <w:t>’</w:t>
      </w:r>
      <w:r w:rsidRPr="00D23B8F">
        <w:rPr>
          <w:rFonts w:cstheme="minorHAnsi"/>
          <w:sz w:val="24"/>
          <w:szCs w:val="24"/>
        </w:rPr>
        <w:t xml:space="preserve"> (Coase</w:t>
      </w:r>
      <w:r w:rsidR="00F41834" w:rsidRPr="00D23B8F">
        <w:rPr>
          <w:rFonts w:cstheme="minorHAnsi"/>
          <w:sz w:val="24"/>
          <w:szCs w:val="24"/>
        </w:rPr>
        <w:t xml:space="preserve"> 1981</w:t>
      </w:r>
      <w:r w:rsidR="00902F78">
        <w:rPr>
          <w:rFonts w:cstheme="minorHAnsi"/>
          <w:sz w:val="24"/>
          <w:szCs w:val="24"/>
        </w:rPr>
        <w:t>:</w:t>
      </w:r>
      <w:r w:rsidR="00F41834" w:rsidRPr="00D23B8F">
        <w:rPr>
          <w:rFonts w:cstheme="minorHAnsi"/>
          <w:sz w:val="24"/>
          <w:szCs w:val="24"/>
        </w:rPr>
        <w:t>27</w:t>
      </w:r>
      <w:r w:rsidRPr="00D23B8F">
        <w:rPr>
          <w:rFonts w:cstheme="minorHAnsi"/>
          <w:sz w:val="24"/>
          <w:szCs w:val="24"/>
        </w:rPr>
        <w:t>).  A scattergun approach encoura</w:t>
      </w:r>
      <w:r w:rsidR="007C57B0" w:rsidRPr="00D23B8F">
        <w:rPr>
          <w:rFonts w:cstheme="minorHAnsi"/>
          <w:sz w:val="24"/>
          <w:szCs w:val="24"/>
        </w:rPr>
        <w:t>ges data torture and eventually,</w:t>
      </w:r>
      <w:r w:rsidRPr="00D23B8F">
        <w:rPr>
          <w:rFonts w:cstheme="minorHAnsi"/>
          <w:sz w:val="24"/>
          <w:szCs w:val="24"/>
        </w:rPr>
        <w:t xml:space="preserve"> inevitably, misuse and abuse of data. </w:t>
      </w:r>
      <w:r w:rsidR="00211E96" w:rsidRPr="00D23B8F">
        <w:rPr>
          <w:rFonts w:cstheme="minorHAnsi"/>
          <w:sz w:val="24"/>
          <w:szCs w:val="24"/>
        </w:rPr>
        <w:t xml:space="preserve"> In higher education there is evidence across the </w:t>
      </w:r>
      <w:r w:rsidR="003A2BDF" w:rsidRPr="00D23B8F">
        <w:rPr>
          <w:rFonts w:cstheme="minorHAnsi"/>
          <w:sz w:val="24"/>
          <w:szCs w:val="24"/>
        </w:rPr>
        <w:t xml:space="preserve">sector </w:t>
      </w:r>
      <w:r w:rsidR="00254C3A">
        <w:rPr>
          <w:rFonts w:cstheme="minorHAnsi"/>
          <w:sz w:val="24"/>
          <w:szCs w:val="24"/>
        </w:rPr>
        <w:t xml:space="preserve">of </w:t>
      </w:r>
      <w:r w:rsidR="003A2BDF" w:rsidRPr="00D23B8F">
        <w:rPr>
          <w:rFonts w:cstheme="minorHAnsi"/>
          <w:sz w:val="24"/>
          <w:szCs w:val="24"/>
        </w:rPr>
        <w:t>a tendency</w:t>
      </w:r>
      <w:r w:rsidR="00211E96" w:rsidRPr="00D23B8F">
        <w:rPr>
          <w:rFonts w:cstheme="minorHAnsi"/>
          <w:sz w:val="24"/>
          <w:szCs w:val="24"/>
        </w:rPr>
        <w:t xml:space="preserve"> to sc</w:t>
      </w:r>
      <w:r w:rsidR="003A2BDF" w:rsidRPr="00D23B8F">
        <w:rPr>
          <w:rFonts w:cstheme="minorHAnsi"/>
          <w:sz w:val="24"/>
          <w:szCs w:val="24"/>
        </w:rPr>
        <w:t>attergun (Phillips KPA 2012).</w:t>
      </w:r>
      <w:r w:rsidR="00E720D8">
        <w:rPr>
          <w:rFonts w:cstheme="minorHAnsi"/>
          <w:sz w:val="24"/>
          <w:szCs w:val="24"/>
        </w:rPr>
        <w:t xml:space="preserve"> </w:t>
      </w:r>
      <w:r w:rsidR="00E720D8" w:rsidRPr="00E720D8">
        <w:t xml:space="preserve">By way of contrast a directed hypothesis driven approach can also be susceptible to methodological biases (see Walter 2010; and </w:t>
      </w:r>
      <w:r w:rsidR="00E720D8" w:rsidRPr="00E720D8">
        <w:lastRenderedPageBreak/>
        <w:t>Walter and Andersen, 2013). A balanced approach ensures the data are be explored from multiple standpoints and methods to ensure consistency and to uncover misleading generalisations.</w:t>
      </w:r>
      <w:r w:rsidR="00E720D8">
        <w:t xml:space="preserve">  </w:t>
      </w:r>
    </w:p>
    <w:p w14:paraId="049321B2" w14:textId="77777777" w:rsidR="000F79FC" w:rsidRPr="00D23B8F" w:rsidRDefault="000F79FC" w:rsidP="008B1F03">
      <w:pPr>
        <w:pStyle w:val="Heading3"/>
        <w:spacing w:line="480" w:lineRule="auto"/>
        <w:rPr>
          <w:rFonts w:asciiTheme="minorHAnsi" w:hAnsiTheme="minorHAnsi" w:cstheme="minorHAnsi"/>
        </w:rPr>
      </w:pPr>
      <w:r w:rsidRPr="00D23B8F">
        <w:rPr>
          <w:rFonts w:asciiTheme="minorHAnsi" w:hAnsiTheme="minorHAnsi" w:cstheme="minorHAnsi"/>
        </w:rPr>
        <w:t>Data changes over time</w:t>
      </w:r>
    </w:p>
    <w:p w14:paraId="1B805F8A" w14:textId="2048C64A" w:rsidR="00072784" w:rsidRPr="00D23B8F" w:rsidRDefault="00594B07" w:rsidP="008B1F03">
      <w:pPr>
        <w:spacing w:after="0" w:line="480" w:lineRule="auto"/>
        <w:rPr>
          <w:rFonts w:cstheme="minorHAnsi"/>
          <w:sz w:val="24"/>
          <w:szCs w:val="24"/>
        </w:rPr>
      </w:pPr>
      <w:r w:rsidRPr="00D23B8F">
        <w:rPr>
          <w:rFonts w:cstheme="minorHAnsi"/>
          <w:sz w:val="24"/>
          <w:szCs w:val="24"/>
        </w:rPr>
        <w:t xml:space="preserve">A lack of longitudinal and cross-sectional data limits our understanding about transition from school to higher education </w:t>
      </w:r>
      <w:r w:rsidRPr="00D23B8F">
        <w:rPr>
          <w:rFonts w:cstheme="minorHAnsi"/>
          <w:noProof/>
          <w:sz w:val="24"/>
          <w:szCs w:val="24"/>
        </w:rPr>
        <w:t>(</w:t>
      </w:r>
      <w:r w:rsidR="00CF7910" w:rsidRPr="00D23B8F">
        <w:rPr>
          <w:rFonts w:cstheme="minorHAnsi"/>
          <w:noProof/>
          <w:sz w:val="24"/>
          <w:szCs w:val="24"/>
        </w:rPr>
        <w:t>Anderse</w:t>
      </w:r>
      <w:r w:rsidR="00E626FE" w:rsidRPr="00D23B8F">
        <w:rPr>
          <w:rFonts w:cstheme="minorHAnsi"/>
          <w:noProof/>
          <w:sz w:val="24"/>
          <w:szCs w:val="24"/>
        </w:rPr>
        <w:t>n</w:t>
      </w:r>
      <w:r w:rsidR="00D63CFD" w:rsidRPr="00D23B8F">
        <w:rPr>
          <w:rFonts w:cstheme="minorHAnsi"/>
          <w:noProof/>
          <w:sz w:val="24"/>
          <w:szCs w:val="24"/>
        </w:rPr>
        <w:t>, Bunda</w:t>
      </w:r>
      <w:r w:rsidR="00902F78">
        <w:rPr>
          <w:rFonts w:cstheme="minorHAnsi"/>
          <w:noProof/>
          <w:sz w:val="24"/>
          <w:szCs w:val="24"/>
        </w:rPr>
        <w:t xml:space="preserve"> and</w:t>
      </w:r>
      <w:r w:rsidR="00D63CFD" w:rsidRPr="00D23B8F">
        <w:rPr>
          <w:rFonts w:cstheme="minorHAnsi"/>
          <w:noProof/>
          <w:sz w:val="24"/>
          <w:szCs w:val="24"/>
        </w:rPr>
        <w:t xml:space="preserve"> Walter 2008; </w:t>
      </w:r>
      <w:r w:rsidRPr="00D23B8F">
        <w:rPr>
          <w:rFonts w:cstheme="minorHAnsi"/>
          <w:noProof/>
          <w:sz w:val="24"/>
          <w:szCs w:val="24"/>
        </w:rPr>
        <w:t xml:space="preserve">Biddle </w:t>
      </w:r>
      <w:r w:rsidR="00902F78">
        <w:rPr>
          <w:rFonts w:cstheme="minorHAnsi"/>
          <w:noProof/>
          <w:sz w:val="24"/>
          <w:szCs w:val="24"/>
        </w:rPr>
        <w:t>and</w:t>
      </w:r>
      <w:r w:rsidRPr="00D23B8F">
        <w:rPr>
          <w:rFonts w:cstheme="minorHAnsi"/>
          <w:noProof/>
          <w:sz w:val="24"/>
          <w:szCs w:val="24"/>
        </w:rPr>
        <w:t xml:space="preserve"> </w:t>
      </w:r>
      <w:r w:rsidRPr="00D23B8F">
        <w:rPr>
          <w:rFonts w:cstheme="minorHAnsi"/>
          <w:noProof/>
          <w:sz w:val="24"/>
          <w:szCs w:val="24"/>
        </w:rPr>
        <w:lastRenderedPageBreak/>
        <w:t xml:space="preserve">Cameron 2012; </w:t>
      </w:r>
      <w:r w:rsidR="00615FBB" w:rsidRPr="00D23B8F">
        <w:rPr>
          <w:rFonts w:cstheme="minorHAnsi"/>
          <w:noProof/>
          <w:sz w:val="24"/>
          <w:szCs w:val="24"/>
        </w:rPr>
        <w:t xml:space="preserve">Biddle </w:t>
      </w:r>
      <w:r w:rsidR="00902F78">
        <w:rPr>
          <w:rFonts w:cstheme="minorHAnsi"/>
          <w:noProof/>
          <w:sz w:val="24"/>
          <w:szCs w:val="24"/>
        </w:rPr>
        <w:t>and</w:t>
      </w:r>
      <w:r w:rsidR="00615FBB" w:rsidRPr="00D23B8F">
        <w:rPr>
          <w:rFonts w:cstheme="minorHAnsi"/>
          <w:noProof/>
          <w:sz w:val="24"/>
          <w:szCs w:val="24"/>
        </w:rPr>
        <w:t xml:space="preserve"> Yap</w:t>
      </w:r>
      <w:r w:rsidR="009A67BE">
        <w:rPr>
          <w:rFonts w:cstheme="minorHAnsi"/>
          <w:noProof/>
          <w:sz w:val="24"/>
          <w:szCs w:val="24"/>
        </w:rPr>
        <w:t xml:space="preserve"> </w:t>
      </w:r>
      <w:r w:rsidR="00615FBB" w:rsidRPr="00D23B8F">
        <w:rPr>
          <w:rFonts w:cstheme="minorHAnsi"/>
          <w:noProof/>
          <w:sz w:val="24"/>
          <w:szCs w:val="24"/>
        </w:rPr>
        <w:t xml:space="preserve">2010; </w:t>
      </w:r>
      <w:r w:rsidRPr="00D23B8F">
        <w:rPr>
          <w:rFonts w:cstheme="minorHAnsi"/>
          <w:noProof/>
          <w:sz w:val="24"/>
          <w:szCs w:val="24"/>
        </w:rPr>
        <w:t xml:space="preserve">Wijesekere 2008; Wilson </w:t>
      </w:r>
      <w:r w:rsidR="00902F78">
        <w:rPr>
          <w:rFonts w:cstheme="minorHAnsi"/>
          <w:noProof/>
          <w:sz w:val="24"/>
          <w:szCs w:val="24"/>
        </w:rPr>
        <w:t>and</w:t>
      </w:r>
      <w:r w:rsidR="00902F78" w:rsidRPr="00D23B8F">
        <w:rPr>
          <w:rFonts w:cstheme="minorHAnsi"/>
          <w:noProof/>
          <w:sz w:val="24"/>
          <w:szCs w:val="24"/>
        </w:rPr>
        <w:t xml:space="preserve"> </w:t>
      </w:r>
      <w:r w:rsidRPr="00D23B8F">
        <w:rPr>
          <w:rFonts w:cstheme="minorHAnsi"/>
          <w:noProof/>
          <w:sz w:val="24"/>
          <w:szCs w:val="24"/>
        </w:rPr>
        <w:t>Barnes 2007), and</w:t>
      </w:r>
      <w:r w:rsidRPr="00D23B8F">
        <w:rPr>
          <w:rFonts w:cstheme="minorHAnsi"/>
          <w:sz w:val="24"/>
          <w:szCs w:val="24"/>
        </w:rPr>
        <w:t xml:space="preserve"> improved data are needed to understand school student mobility and how this affects educational participation and outcomes </w:t>
      </w:r>
      <w:r w:rsidR="007C57B0" w:rsidRPr="00D23B8F">
        <w:rPr>
          <w:rFonts w:cstheme="minorHAnsi"/>
          <w:noProof/>
          <w:sz w:val="24"/>
          <w:szCs w:val="24"/>
        </w:rPr>
        <w:t>(</w:t>
      </w:r>
      <w:r w:rsidRPr="00D23B8F">
        <w:rPr>
          <w:rFonts w:cstheme="minorHAnsi"/>
          <w:noProof/>
          <w:sz w:val="24"/>
          <w:szCs w:val="24"/>
        </w:rPr>
        <w:t xml:space="preserve">Taylor </w:t>
      </w:r>
      <w:r w:rsidR="00902F78">
        <w:rPr>
          <w:rFonts w:cstheme="minorHAnsi"/>
          <w:noProof/>
          <w:sz w:val="24"/>
          <w:szCs w:val="24"/>
        </w:rPr>
        <w:t>and</w:t>
      </w:r>
      <w:r w:rsidR="00902F78" w:rsidRPr="00D23B8F">
        <w:rPr>
          <w:rFonts w:cstheme="minorHAnsi"/>
          <w:noProof/>
          <w:sz w:val="24"/>
          <w:szCs w:val="24"/>
        </w:rPr>
        <w:t xml:space="preserve"> </w:t>
      </w:r>
      <w:r w:rsidRPr="00D23B8F">
        <w:rPr>
          <w:rFonts w:cstheme="minorHAnsi"/>
          <w:noProof/>
          <w:sz w:val="24"/>
          <w:szCs w:val="24"/>
        </w:rPr>
        <w:t>Dunn 2010; Wijesekere 2008)</w:t>
      </w:r>
      <w:r w:rsidRPr="00D23B8F">
        <w:rPr>
          <w:rFonts w:cstheme="minorHAnsi"/>
          <w:sz w:val="24"/>
          <w:szCs w:val="24"/>
        </w:rPr>
        <w:t xml:space="preserve">.  </w:t>
      </w:r>
      <w:r w:rsidR="008617BA" w:rsidRPr="00D23B8F">
        <w:rPr>
          <w:rFonts w:cstheme="minorHAnsi"/>
          <w:sz w:val="24"/>
          <w:szCs w:val="24"/>
        </w:rPr>
        <w:t xml:space="preserve">For example, </w:t>
      </w:r>
      <w:r w:rsidR="006D26F7" w:rsidRPr="00D23B8F">
        <w:rPr>
          <w:rFonts w:cstheme="minorHAnsi"/>
          <w:sz w:val="24"/>
          <w:szCs w:val="24"/>
        </w:rPr>
        <w:t>the Department o</w:t>
      </w:r>
      <w:r w:rsidR="005570D2" w:rsidRPr="00D23B8F">
        <w:rPr>
          <w:rFonts w:cstheme="minorHAnsi"/>
          <w:sz w:val="24"/>
          <w:szCs w:val="24"/>
        </w:rPr>
        <w:t>f Education and Training’s</w:t>
      </w:r>
      <w:r w:rsidR="006D26F7" w:rsidRPr="00D23B8F">
        <w:rPr>
          <w:rFonts w:cstheme="minorHAnsi"/>
          <w:sz w:val="24"/>
          <w:szCs w:val="24"/>
        </w:rPr>
        <w:t xml:space="preserve"> </w:t>
      </w:r>
      <w:r w:rsidR="008617BA" w:rsidRPr="00D23B8F">
        <w:rPr>
          <w:rFonts w:cstheme="minorHAnsi"/>
          <w:sz w:val="24"/>
          <w:szCs w:val="24"/>
        </w:rPr>
        <w:t xml:space="preserve">reporting methods have changed over time making comparisons difficult if not impossible </w:t>
      </w:r>
      <w:r w:rsidR="00072784" w:rsidRPr="00D23B8F">
        <w:rPr>
          <w:rFonts w:cstheme="minorHAnsi"/>
          <w:sz w:val="24"/>
          <w:szCs w:val="24"/>
        </w:rPr>
        <w:lastRenderedPageBreak/>
        <w:t xml:space="preserve">(Pechenkina </w:t>
      </w:r>
      <w:r w:rsidR="00902F78">
        <w:rPr>
          <w:rFonts w:cstheme="minorHAnsi"/>
          <w:sz w:val="24"/>
          <w:szCs w:val="24"/>
        </w:rPr>
        <w:t>and</w:t>
      </w:r>
      <w:r w:rsidR="00072784" w:rsidRPr="00D23B8F">
        <w:rPr>
          <w:rFonts w:cstheme="minorHAnsi"/>
          <w:sz w:val="24"/>
          <w:szCs w:val="24"/>
        </w:rPr>
        <w:t xml:space="preserve"> Anderson</w:t>
      </w:r>
      <w:r w:rsidR="008617BA" w:rsidRPr="00D23B8F">
        <w:rPr>
          <w:rFonts w:cstheme="minorHAnsi"/>
          <w:sz w:val="24"/>
          <w:szCs w:val="24"/>
        </w:rPr>
        <w:t xml:space="preserve"> 2011</w:t>
      </w:r>
      <w:r w:rsidR="00072784" w:rsidRPr="00D23B8F">
        <w:rPr>
          <w:rFonts w:cstheme="minorHAnsi"/>
          <w:sz w:val="24"/>
          <w:szCs w:val="24"/>
        </w:rPr>
        <w:t>)</w:t>
      </w:r>
      <w:r w:rsidR="008617BA" w:rsidRPr="00D23B8F">
        <w:rPr>
          <w:rFonts w:cstheme="minorHAnsi"/>
          <w:sz w:val="24"/>
          <w:szCs w:val="24"/>
        </w:rPr>
        <w:t xml:space="preserve">.  In their analysis </w:t>
      </w:r>
      <w:r w:rsidR="008D1D87" w:rsidRPr="00D23B8F">
        <w:rPr>
          <w:rFonts w:cstheme="minorHAnsi"/>
          <w:sz w:val="24"/>
          <w:szCs w:val="24"/>
        </w:rPr>
        <w:t>of Indigenous</w:t>
      </w:r>
      <w:r w:rsidR="001052F0" w:rsidRPr="00D23B8F">
        <w:rPr>
          <w:rFonts w:cstheme="minorHAnsi"/>
          <w:sz w:val="24"/>
          <w:szCs w:val="24"/>
        </w:rPr>
        <w:t xml:space="preserve"> student performance utilising enrolment, </w:t>
      </w:r>
      <w:r w:rsidR="006D26F7" w:rsidRPr="00D23B8F">
        <w:rPr>
          <w:rFonts w:cstheme="minorHAnsi"/>
          <w:sz w:val="24"/>
          <w:szCs w:val="24"/>
        </w:rPr>
        <w:t xml:space="preserve">retention </w:t>
      </w:r>
      <w:r w:rsidR="001052F0" w:rsidRPr="00D23B8F">
        <w:rPr>
          <w:rFonts w:cstheme="minorHAnsi"/>
          <w:sz w:val="24"/>
          <w:szCs w:val="24"/>
        </w:rPr>
        <w:t xml:space="preserve">and completion rates </w:t>
      </w:r>
      <w:r w:rsidR="00145FCE" w:rsidRPr="00D23B8F">
        <w:rPr>
          <w:rFonts w:cstheme="minorHAnsi"/>
          <w:sz w:val="24"/>
          <w:szCs w:val="24"/>
        </w:rPr>
        <w:t>Pechenkina and Anderson (2011)</w:t>
      </w:r>
      <w:r w:rsidR="001052F0" w:rsidRPr="00D23B8F">
        <w:rPr>
          <w:rFonts w:cstheme="minorHAnsi"/>
          <w:sz w:val="24"/>
          <w:szCs w:val="24"/>
        </w:rPr>
        <w:t xml:space="preserve"> noted that in the 1990s completions were reported by field of study rather than </w:t>
      </w:r>
      <w:r w:rsidR="00CF0CBB" w:rsidRPr="00D23B8F">
        <w:rPr>
          <w:rFonts w:cstheme="minorHAnsi"/>
          <w:sz w:val="24"/>
          <w:szCs w:val="24"/>
        </w:rPr>
        <w:t xml:space="preserve">by the </w:t>
      </w:r>
      <w:r w:rsidR="001052F0" w:rsidRPr="00D23B8F">
        <w:rPr>
          <w:rFonts w:cstheme="minorHAnsi"/>
          <w:sz w:val="24"/>
          <w:szCs w:val="24"/>
        </w:rPr>
        <w:t>provider.</w:t>
      </w:r>
    </w:p>
    <w:p w14:paraId="26DDFB9D" w14:textId="77777777" w:rsidR="00152694" w:rsidRPr="00D23B8F" w:rsidRDefault="00152694" w:rsidP="008B1F03">
      <w:pPr>
        <w:spacing w:after="0" w:line="480" w:lineRule="auto"/>
        <w:rPr>
          <w:rFonts w:cstheme="minorHAnsi"/>
          <w:noProof/>
          <w:sz w:val="24"/>
          <w:szCs w:val="24"/>
        </w:rPr>
      </w:pPr>
    </w:p>
    <w:p w14:paraId="2D0A7EA4" w14:textId="77777777" w:rsidR="008C1037" w:rsidRPr="00D23B8F" w:rsidRDefault="008C1037" w:rsidP="008B1F03">
      <w:pPr>
        <w:pStyle w:val="ListParagraph"/>
        <w:spacing w:after="0" w:line="480" w:lineRule="auto"/>
        <w:ind w:left="0"/>
        <w:rPr>
          <w:rFonts w:cstheme="minorHAnsi"/>
          <w:noProof/>
          <w:sz w:val="24"/>
          <w:szCs w:val="24"/>
        </w:rPr>
      </w:pPr>
      <w:r w:rsidRPr="00D23B8F">
        <w:rPr>
          <w:rFonts w:cstheme="minorHAnsi"/>
          <w:noProof/>
          <w:sz w:val="24"/>
          <w:szCs w:val="24"/>
        </w:rPr>
        <w:lastRenderedPageBreak/>
        <w:t xml:space="preserve">The Department of Education and Training has undertaken reviews of reporting and data collection (Phillips KPA 2012; Department of Education 2013).  These reviews focussed largely on the broader higher education reporting landscape and identified several areas of concern including: lack of coordination; accumulation of reporting requirements over time; definitions and documentation; </w:t>
      </w:r>
      <w:r w:rsidRPr="00D23B8F">
        <w:rPr>
          <w:rFonts w:cstheme="minorHAnsi"/>
          <w:noProof/>
          <w:sz w:val="24"/>
          <w:szCs w:val="24"/>
        </w:rPr>
        <w:lastRenderedPageBreak/>
        <w:t>scale and proportionality; instability in reporting requirements and inadequate planning for change; and accessibility and timeliness (Phillips KPA 2012</w:t>
      </w:r>
      <w:r w:rsidR="00D06834">
        <w:rPr>
          <w:rFonts w:cstheme="minorHAnsi"/>
          <w:noProof/>
          <w:sz w:val="24"/>
          <w:szCs w:val="24"/>
        </w:rPr>
        <w:t>:</w:t>
      </w:r>
      <w:r w:rsidRPr="00D23B8F">
        <w:rPr>
          <w:rFonts w:cstheme="minorHAnsi"/>
          <w:noProof/>
          <w:sz w:val="24"/>
          <w:szCs w:val="24"/>
        </w:rPr>
        <w:t xml:space="preserve"> 71).  </w:t>
      </w:r>
    </w:p>
    <w:p w14:paraId="06A933CC" w14:textId="77777777" w:rsidR="008C1037" w:rsidRPr="00D23B8F" w:rsidRDefault="008C1037" w:rsidP="008B1F03">
      <w:pPr>
        <w:pStyle w:val="ListParagraph"/>
        <w:spacing w:after="0" w:line="480" w:lineRule="auto"/>
        <w:ind w:left="0" w:firstLine="720"/>
        <w:rPr>
          <w:rFonts w:cstheme="minorHAnsi"/>
          <w:noProof/>
          <w:sz w:val="24"/>
          <w:szCs w:val="24"/>
        </w:rPr>
      </w:pPr>
    </w:p>
    <w:p w14:paraId="2434C0E6" w14:textId="48087BA5" w:rsidR="00D2273C" w:rsidRPr="00D23B8F" w:rsidRDefault="0040543F" w:rsidP="008B1F03">
      <w:pPr>
        <w:pStyle w:val="ListParagraph"/>
        <w:spacing w:after="0" w:line="480" w:lineRule="auto"/>
        <w:ind w:left="0"/>
        <w:rPr>
          <w:rFonts w:cstheme="minorHAnsi"/>
          <w:sz w:val="24"/>
          <w:szCs w:val="24"/>
        </w:rPr>
      </w:pPr>
      <w:r>
        <w:rPr>
          <w:rFonts w:cstheme="minorHAnsi"/>
          <w:noProof/>
          <w:sz w:val="24"/>
          <w:szCs w:val="24"/>
        </w:rPr>
        <w:t>In 2013, t</w:t>
      </w:r>
      <w:r w:rsidR="008C1037" w:rsidRPr="00D23B8F">
        <w:rPr>
          <w:rFonts w:cstheme="minorHAnsi"/>
          <w:noProof/>
          <w:sz w:val="24"/>
          <w:szCs w:val="24"/>
        </w:rPr>
        <w:t xml:space="preserve">he </w:t>
      </w:r>
      <w:r>
        <w:rPr>
          <w:rFonts w:cstheme="minorHAnsi"/>
          <w:noProof/>
          <w:sz w:val="24"/>
          <w:szCs w:val="24"/>
        </w:rPr>
        <w:t>Minister for Education</w:t>
      </w:r>
      <w:r w:rsidRPr="00D23B8F">
        <w:rPr>
          <w:rFonts w:cstheme="minorHAnsi"/>
          <w:noProof/>
          <w:sz w:val="24"/>
          <w:szCs w:val="24"/>
        </w:rPr>
        <w:t xml:space="preserve"> </w:t>
      </w:r>
      <w:r w:rsidR="008C1037" w:rsidRPr="00D23B8F">
        <w:rPr>
          <w:rFonts w:cstheme="minorHAnsi"/>
          <w:noProof/>
          <w:sz w:val="24"/>
          <w:szCs w:val="24"/>
        </w:rPr>
        <w:t xml:space="preserve">responded to the Phillips KPA review accepting </w:t>
      </w:r>
      <w:r>
        <w:rPr>
          <w:rFonts w:cstheme="minorHAnsi"/>
          <w:noProof/>
          <w:sz w:val="24"/>
          <w:szCs w:val="24"/>
        </w:rPr>
        <w:t xml:space="preserve">all </w:t>
      </w:r>
      <w:r w:rsidR="008C1037" w:rsidRPr="00D23B8F">
        <w:rPr>
          <w:rFonts w:cstheme="minorHAnsi"/>
          <w:noProof/>
          <w:sz w:val="24"/>
          <w:szCs w:val="24"/>
        </w:rPr>
        <w:t>of the 27 recommendations</w:t>
      </w:r>
      <w:r w:rsidR="00E53D2B">
        <w:rPr>
          <w:rFonts w:cstheme="minorHAnsi"/>
          <w:noProof/>
          <w:sz w:val="24"/>
          <w:szCs w:val="24"/>
        </w:rPr>
        <w:t xml:space="preserve"> relating to the issues identified above.</w:t>
      </w:r>
      <w:r w:rsidR="00E6548F">
        <w:rPr>
          <w:rStyle w:val="CommentReference"/>
        </w:rPr>
        <w:t xml:space="preserve"> </w:t>
      </w:r>
      <w:r w:rsidR="002F497E">
        <w:rPr>
          <w:rFonts w:cstheme="minorHAnsi"/>
          <w:noProof/>
          <w:sz w:val="24"/>
          <w:szCs w:val="24"/>
        </w:rPr>
        <w:lastRenderedPageBreak/>
        <w:t>T</w:t>
      </w:r>
      <w:r w:rsidR="00E6548F">
        <w:rPr>
          <w:rFonts w:cstheme="minorHAnsi"/>
          <w:noProof/>
          <w:sz w:val="24"/>
          <w:szCs w:val="24"/>
        </w:rPr>
        <w:t xml:space="preserve">he Department of Education </w:t>
      </w:r>
      <w:r w:rsidR="00FE1250" w:rsidRPr="00D23B8F">
        <w:rPr>
          <w:rFonts w:cstheme="minorHAnsi"/>
          <w:noProof/>
          <w:sz w:val="24"/>
          <w:szCs w:val="24"/>
        </w:rPr>
        <w:t xml:space="preserve">is </w:t>
      </w:r>
      <w:r w:rsidR="00E6548F">
        <w:rPr>
          <w:rFonts w:cstheme="minorHAnsi"/>
          <w:noProof/>
          <w:sz w:val="24"/>
          <w:szCs w:val="24"/>
        </w:rPr>
        <w:t>continung</w:t>
      </w:r>
      <w:r w:rsidR="00FE1250" w:rsidRPr="00D23B8F">
        <w:rPr>
          <w:rFonts w:cstheme="minorHAnsi"/>
          <w:noProof/>
          <w:sz w:val="24"/>
          <w:szCs w:val="24"/>
        </w:rPr>
        <w:t xml:space="preserve"> </w:t>
      </w:r>
      <w:r w:rsidR="00E6548F">
        <w:rPr>
          <w:rFonts w:cstheme="minorHAnsi"/>
          <w:noProof/>
          <w:sz w:val="24"/>
          <w:szCs w:val="24"/>
        </w:rPr>
        <w:t>with</w:t>
      </w:r>
      <w:r w:rsidR="008C1037" w:rsidRPr="00D23B8F">
        <w:rPr>
          <w:rFonts w:cstheme="minorHAnsi"/>
          <w:noProof/>
          <w:sz w:val="24"/>
          <w:szCs w:val="24"/>
        </w:rPr>
        <w:t xml:space="preserve"> a four-year project seeking to streamline the collection and storage of higher education data, and to aggregate data into a single repository.  </w:t>
      </w:r>
      <w:r w:rsidR="009A04A4" w:rsidRPr="00D23B8F">
        <w:rPr>
          <w:rFonts w:cstheme="minorHAnsi"/>
          <w:sz w:val="24"/>
          <w:szCs w:val="24"/>
        </w:rPr>
        <w:t>As noted by one respondent this may be a ‘slow build’ with universities requiring considerable lead-in time and support to ensure the data that is supplied to the repository is robust</w:t>
      </w:r>
      <w:r w:rsidR="009A04A4" w:rsidRPr="00D23B8F">
        <w:rPr>
          <w:rFonts w:cstheme="minorHAnsi"/>
          <w:noProof/>
          <w:sz w:val="24"/>
          <w:szCs w:val="24"/>
        </w:rPr>
        <w:t xml:space="preserve">.  </w:t>
      </w:r>
      <w:r w:rsidR="002F497E">
        <w:rPr>
          <w:rFonts w:cstheme="minorHAnsi"/>
          <w:noProof/>
          <w:sz w:val="24"/>
          <w:szCs w:val="24"/>
        </w:rPr>
        <w:t xml:space="preserve">The </w:t>
      </w:r>
      <w:r w:rsidR="002F497E" w:rsidRPr="002F497E">
        <w:rPr>
          <w:rFonts w:cstheme="minorHAnsi"/>
          <w:noProof/>
          <w:sz w:val="24"/>
          <w:szCs w:val="24"/>
        </w:rPr>
        <w:t xml:space="preserve">TEQSA Advisory Council </w:t>
      </w:r>
      <w:r w:rsidR="002F497E">
        <w:rPr>
          <w:rFonts w:cstheme="minorHAnsi"/>
          <w:noProof/>
          <w:sz w:val="24"/>
          <w:szCs w:val="24"/>
        </w:rPr>
        <w:t xml:space="preserve"> </w:t>
      </w:r>
      <w:r w:rsidR="00441CFD">
        <w:rPr>
          <w:rFonts w:cstheme="minorHAnsi"/>
          <w:noProof/>
          <w:sz w:val="24"/>
          <w:szCs w:val="24"/>
        </w:rPr>
        <w:t>(</w:t>
      </w:r>
      <w:r w:rsidR="002F497E">
        <w:rPr>
          <w:rFonts w:cstheme="minorHAnsi"/>
          <w:noProof/>
          <w:sz w:val="24"/>
          <w:szCs w:val="24"/>
        </w:rPr>
        <w:t>replac</w:t>
      </w:r>
      <w:r w:rsidR="00441CFD">
        <w:rPr>
          <w:rFonts w:cstheme="minorHAnsi"/>
          <w:noProof/>
          <w:sz w:val="24"/>
          <w:szCs w:val="24"/>
        </w:rPr>
        <w:t>ing</w:t>
      </w:r>
      <w:r w:rsidR="002F497E">
        <w:rPr>
          <w:rFonts w:cstheme="minorHAnsi"/>
          <w:noProof/>
          <w:sz w:val="24"/>
          <w:szCs w:val="24"/>
        </w:rPr>
        <w:t xml:space="preserve"> </w:t>
      </w:r>
      <w:r w:rsidR="002F497E">
        <w:rPr>
          <w:rFonts w:cstheme="minorHAnsi"/>
          <w:noProof/>
          <w:sz w:val="24"/>
          <w:szCs w:val="24"/>
        </w:rPr>
        <w:lastRenderedPageBreak/>
        <w:t xml:space="preserve">the </w:t>
      </w:r>
      <w:r w:rsidR="002F497E" w:rsidRPr="002F497E">
        <w:rPr>
          <w:rFonts w:cstheme="minorHAnsi"/>
          <w:noProof/>
          <w:sz w:val="24"/>
          <w:szCs w:val="24"/>
        </w:rPr>
        <w:t xml:space="preserve">National Advisory Group on Higher Education Data and Information (NAGHEDI) </w:t>
      </w:r>
      <w:r w:rsidR="00441CFD">
        <w:rPr>
          <w:rFonts w:cstheme="minorHAnsi"/>
          <w:noProof/>
          <w:sz w:val="24"/>
          <w:szCs w:val="24"/>
        </w:rPr>
        <w:t>i</w:t>
      </w:r>
      <w:r w:rsidR="002F497E">
        <w:rPr>
          <w:rFonts w:cstheme="minorHAnsi"/>
          <w:noProof/>
          <w:sz w:val="24"/>
          <w:szCs w:val="24"/>
        </w:rPr>
        <w:t xml:space="preserve">s the </w:t>
      </w:r>
      <w:r w:rsidR="009A04A4">
        <w:rPr>
          <w:rFonts w:cstheme="minorHAnsi"/>
          <w:noProof/>
          <w:sz w:val="24"/>
          <w:szCs w:val="24"/>
        </w:rPr>
        <w:t xml:space="preserve">advisory </w:t>
      </w:r>
      <w:r w:rsidR="002F497E">
        <w:rPr>
          <w:rFonts w:cstheme="minorHAnsi"/>
          <w:noProof/>
          <w:sz w:val="24"/>
          <w:szCs w:val="24"/>
        </w:rPr>
        <w:t xml:space="preserve">body </w:t>
      </w:r>
      <w:r w:rsidR="00441CFD">
        <w:rPr>
          <w:rFonts w:cstheme="minorHAnsi"/>
          <w:noProof/>
          <w:sz w:val="24"/>
          <w:szCs w:val="24"/>
        </w:rPr>
        <w:t>with</w:t>
      </w:r>
      <w:r w:rsidR="002F497E">
        <w:rPr>
          <w:rFonts w:cstheme="minorHAnsi"/>
          <w:noProof/>
          <w:sz w:val="24"/>
          <w:szCs w:val="24"/>
        </w:rPr>
        <w:t xml:space="preserve"> this responsibility</w:t>
      </w:r>
      <w:r w:rsidR="00970008">
        <w:rPr>
          <w:rFonts w:cstheme="minorHAnsi"/>
          <w:sz w:val="24"/>
          <w:szCs w:val="24"/>
        </w:rPr>
        <w:t xml:space="preserve">, </w:t>
      </w:r>
      <w:r w:rsidR="009A04A4">
        <w:rPr>
          <w:rFonts w:cstheme="minorHAnsi"/>
          <w:sz w:val="24"/>
          <w:szCs w:val="24"/>
        </w:rPr>
        <w:t>The</w:t>
      </w:r>
      <w:r w:rsidR="008C22F1">
        <w:rPr>
          <w:rFonts w:cstheme="minorHAnsi"/>
          <w:sz w:val="24"/>
          <w:szCs w:val="24"/>
        </w:rPr>
        <w:t xml:space="preserve"> </w:t>
      </w:r>
      <w:r w:rsidR="009A04A4">
        <w:rPr>
          <w:rFonts w:cstheme="minorHAnsi"/>
          <w:sz w:val="24"/>
          <w:szCs w:val="24"/>
        </w:rPr>
        <w:t xml:space="preserve">Department of Education and Training has established a </w:t>
      </w:r>
      <w:r w:rsidR="008C22F1" w:rsidRPr="00CA41D8">
        <w:rPr>
          <w:rFonts w:cstheme="minorHAnsi"/>
          <w:sz w:val="24"/>
          <w:szCs w:val="24"/>
        </w:rPr>
        <w:t xml:space="preserve">Higher Education Data Committee, </w:t>
      </w:r>
      <w:r w:rsidR="009A04A4">
        <w:rPr>
          <w:rFonts w:cstheme="minorHAnsi"/>
          <w:sz w:val="24"/>
          <w:szCs w:val="24"/>
        </w:rPr>
        <w:t xml:space="preserve">to advise the department on </w:t>
      </w:r>
      <w:r w:rsidR="009A04A4" w:rsidRPr="009A04A4">
        <w:rPr>
          <w:rFonts w:cstheme="minorHAnsi"/>
          <w:sz w:val="24"/>
          <w:szCs w:val="24"/>
        </w:rPr>
        <w:t>higher education data collections</w:t>
      </w:r>
      <w:r w:rsidR="009A04A4">
        <w:rPr>
          <w:rFonts w:cstheme="minorHAnsi"/>
          <w:sz w:val="24"/>
          <w:szCs w:val="24"/>
        </w:rPr>
        <w:t xml:space="preserve">, and act as </w:t>
      </w:r>
      <w:r w:rsidR="008C22F1" w:rsidRPr="00CA41D8">
        <w:rPr>
          <w:rFonts w:cstheme="minorHAnsi"/>
          <w:sz w:val="24"/>
          <w:szCs w:val="24"/>
        </w:rPr>
        <w:t>a higher education data clearing house for Com</w:t>
      </w:r>
      <w:r w:rsidR="008C22F1" w:rsidRPr="00CA41D8">
        <w:rPr>
          <w:rFonts w:cstheme="minorHAnsi"/>
          <w:sz w:val="24"/>
          <w:szCs w:val="24"/>
        </w:rPr>
        <w:lastRenderedPageBreak/>
        <w:t>monwealth and States and Territories</w:t>
      </w:r>
      <w:r w:rsidR="00970008">
        <w:rPr>
          <w:rFonts w:cstheme="minorHAnsi"/>
          <w:sz w:val="24"/>
          <w:szCs w:val="24"/>
        </w:rPr>
        <w:t xml:space="preserve"> (Department of Education and Training 2016)</w:t>
      </w:r>
      <w:r w:rsidR="008C22F1" w:rsidRPr="00CA41D8">
        <w:rPr>
          <w:rFonts w:cstheme="minorHAnsi"/>
          <w:sz w:val="24"/>
          <w:szCs w:val="24"/>
        </w:rPr>
        <w:t>.</w:t>
      </w:r>
      <w:r w:rsidR="008C22F1">
        <w:rPr>
          <w:rFonts w:cstheme="minorHAnsi"/>
          <w:sz w:val="24"/>
          <w:szCs w:val="24"/>
        </w:rPr>
        <w:t xml:space="preserve"> </w:t>
      </w:r>
      <w:r w:rsidR="008C1037" w:rsidRPr="00D23B8F">
        <w:rPr>
          <w:rFonts w:cstheme="minorHAnsi"/>
          <w:noProof/>
          <w:sz w:val="24"/>
          <w:szCs w:val="24"/>
        </w:rPr>
        <w:t xml:space="preserve">It is understood that this project also involves </w:t>
      </w:r>
      <w:r w:rsidR="008C1037" w:rsidRPr="00D23B8F">
        <w:rPr>
          <w:rFonts w:cstheme="minorHAnsi"/>
          <w:sz w:val="24"/>
          <w:szCs w:val="24"/>
        </w:rPr>
        <w:t xml:space="preserve">the development of a comprehensive higher education data dictionary and the development of a mechanism to cross reference data collected by various agencies and organisations. </w:t>
      </w:r>
      <w:r w:rsidR="008E6EFA">
        <w:rPr>
          <w:rFonts w:cstheme="minorHAnsi"/>
          <w:sz w:val="24"/>
          <w:szCs w:val="24"/>
        </w:rPr>
        <w:t xml:space="preserve">There is no evidence to date of </w:t>
      </w:r>
      <w:r w:rsidR="00AD044C">
        <w:rPr>
          <w:rFonts w:cstheme="minorHAnsi"/>
          <w:sz w:val="24"/>
          <w:szCs w:val="24"/>
        </w:rPr>
        <w:t>Indigenous membership</w:t>
      </w:r>
      <w:r w:rsidR="009A04A4">
        <w:rPr>
          <w:rFonts w:cstheme="minorHAnsi"/>
          <w:sz w:val="24"/>
          <w:szCs w:val="24"/>
        </w:rPr>
        <w:t>, representation</w:t>
      </w:r>
      <w:r w:rsidR="00AD044C">
        <w:rPr>
          <w:rFonts w:cstheme="minorHAnsi"/>
          <w:sz w:val="24"/>
          <w:szCs w:val="24"/>
        </w:rPr>
        <w:t xml:space="preserve"> </w:t>
      </w:r>
      <w:r w:rsidR="009A04A4">
        <w:rPr>
          <w:rFonts w:cstheme="minorHAnsi"/>
          <w:sz w:val="24"/>
          <w:szCs w:val="24"/>
        </w:rPr>
        <w:t>or consultation.</w:t>
      </w:r>
      <w:r w:rsidR="00CA41D8">
        <w:rPr>
          <w:rFonts w:cstheme="minorHAnsi"/>
          <w:sz w:val="24"/>
          <w:szCs w:val="24"/>
        </w:rPr>
        <w:t xml:space="preserve"> </w:t>
      </w:r>
    </w:p>
    <w:p w14:paraId="16D8FC57" w14:textId="77777777" w:rsidR="00A46550" w:rsidRPr="00D23B8F" w:rsidRDefault="00A016F7" w:rsidP="008B1F03">
      <w:pPr>
        <w:pStyle w:val="Heading1"/>
        <w:spacing w:line="480" w:lineRule="auto"/>
        <w:rPr>
          <w:rFonts w:asciiTheme="minorHAnsi" w:hAnsiTheme="minorHAnsi" w:cstheme="minorHAnsi"/>
        </w:rPr>
      </w:pPr>
      <w:r w:rsidRPr="00D23B8F">
        <w:rPr>
          <w:rFonts w:asciiTheme="minorHAnsi" w:hAnsiTheme="minorHAnsi" w:cstheme="minorHAnsi"/>
        </w:rPr>
        <w:lastRenderedPageBreak/>
        <w:t>Discussion</w:t>
      </w:r>
    </w:p>
    <w:p w14:paraId="1D5565B5" w14:textId="77777777" w:rsidR="00A016F7" w:rsidRPr="00D23B8F" w:rsidRDefault="00A016F7" w:rsidP="008B1F03">
      <w:pPr>
        <w:spacing w:line="480" w:lineRule="auto"/>
        <w:rPr>
          <w:rFonts w:cstheme="minorHAnsi"/>
          <w:sz w:val="24"/>
          <w:szCs w:val="24"/>
        </w:rPr>
      </w:pPr>
      <w:r w:rsidRPr="00D23B8F">
        <w:rPr>
          <w:rFonts w:cstheme="minorHAnsi"/>
          <w:sz w:val="24"/>
          <w:szCs w:val="24"/>
        </w:rPr>
        <w:t xml:space="preserve">Our proposed framework for disaggregating issues into upstream, midstream and downstream provides a clear signpost for understanding and responding at the right level of analysis or site of intervention. Clearly, different actors are implicated at the different levels. The upstream level will require the demonstration of leadership at the international, </w:t>
      </w:r>
      <w:r w:rsidRPr="00D23B8F">
        <w:rPr>
          <w:rFonts w:cstheme="minorHAnsi"/>
          <w:sz w:val="24"/>
          <w:szCs w:val="24"/>
        </w:rPr>
        <w:lastRenderedPageBreak/>
        <w:t xml:space="preserve">national and executive institutional level.  Questions of leadership and commitment at this level are crucial and include the vitally important cultural commitments regarding the use and abuse of Aboriginal and Torres Strait Islander data; of what needs to be known and why and of shared agreement across jurisdictions regarding the nature and scope of a shared critical statistical literacy. Without these </w:t>
      </w:r>
      <w:r w:rsidRPr="00D23B8F">
        <w:rPr>
          <w:rFonts w:cstheme="minorHAnsi"/>
          <w:sz w:val="24"/>
          <w:szCs w:val="24"/>
        </w:rPr>
        <w:lastRenderedPageBreak/>
        <w:t xml:space="preserve">commitments any trickle down to the other levels is likely to be piecemeal and ad hoc.  Without strong leadership those in the midstream and downstream may lack motivation, be peremptory in their efforts and perhaps even cynical as pointed out by one of our respondents.  Compliance to liberate funding is clearly insufficient motivation and sends </w:t>
      </w:r>
      <w:r w:rsidRPr="00D23B8F">
        <w:rPr>
          <w:rFonts w:cstheme="minorHAnsi"/>
          <w:sz w:val="24"/>
          <w:szCs w:val="24"/>
        </w:rPr>
        <w:lastRenderedPageBreak/>
        <w:t xml:space="preserve">a very clear message that mitigates against positive enactment of data </w:t>
      </w:r>
      <w:r w:rsidR="00F0181F" w:rsidRPr="00D23B8F">
        <w:rPr>
          <w:rFonts w:cstheme="minorHAnsi"/>
          <w:sz w:val="24"/>
          <w:szCs w:val="24"/>
        </w:rPr>
        <w:t>quality</w:t>
      </w:r>
      <w:r w:rsidRPr="00D23B8F">
        <w:rPr>
          <w:rFonts w:cstheme="minorHAnsi"/>
          <w:sz w:val="24"/>
          <w:szCs w:val="24"/>
        </w:rPr>
        <w:t xml:space="preserve"> practices at all levels. </w:t>
      </w:r>
    </w:p>
    <w:p w14:paraId="702B8AE5" w14:textId="77777777" w:rsidR="00A016F7" w:rsidRPr="00D23B8F" w:rsidRDefault="00A016F7" w:rsidP="008B1F03">
      <w:pPr>
        <w:spacing w:line="480" w:lineRule="auto"/>
        <w:rPr>
          <w:rFonts w:cstheme="minorHAnsi"/>
          <w:sz w:val="24"/>
          <w:szCs w:val="24"/>
        </w:rPr>
      </w:pPr>
      <w:r w:rsidRPr="00D23B8F">
        <w:rPr>
          <w:rFonts w:cstheme="minorHAnsi"/>
          <w:sz w:val="24"/>
          <w:szCs w:val="24"/>
        </w:rPr>
        <w:t xml:space="preserve">At the midstream level it is important to engage the Aboriginal and Torres Strait Islander community.  A lack of purposeful commitment and culturally respectful motivation from those with the power and agency upstream has been identified as a problem by many Aboriginal and Torres </w:t>
      </w:r>
      <w:r w:rsidRPr="00D23B8F">
        <w:rPr>
          <w:rFonts w:cstheme="minorHAnsi"/>
          <w:sz w:val="24"/>
          <w:szCs w:val="24"/>
        </w:rPr>
        <w:lastRenderedPageBreak/>
        <w:t>Strait Islander observers.  At the midstream level the concepts of intercultural space are clearly important.  In this space our research findings suggest that reflecting on current practices through the dual lens of whiteness and Aboriginal terms of reference has the capacity to position people in the intercultural space with the potential for developing authentic and trusting relationships.</w:t>
      </w:r>
    </w:p>
    <w:p w14:paraId="517C7198" w14:textId="77777777" w:rsidR="00A016F7" w:rsidRPr="00D23B8F" w:rsidRDefault="00A016F7" w:rsidP="008B1F03">
      <w:pPr>
        <w:spacing w:line="480" w:lineRule="auto"/>
        <w:rPr>
          <w:rFonts w:cstheme="minorHAnsi"/>
          <w:sz w:val="24"/>
          <w:szCs w:val="24"/>
        </w:rPr>
      </w:pPr>
      <w:r w:rsidRPr="00D23B8F">
        <w:rPr>
          <w:rFonts w:cstheme="minorHAnsi"/>
          <w:sz w:val="24"/>
          <w:szCs w:val="24"/>
        </w:rPr>
        <w:lastRenderedPageBreak/>
        <w:t xml:space="preserve">Downstream is the engine room for data quality.  That engine room can only function effectively with the right types of guidance and support from the system that developed and engaged it.  The pragmatics of data quality including access, timeliness, reliability, validity, sampling data security and the balance of cross sectional and longitudinal can only </w:t>
      </w:r>
      <w:r w:rsidRPr="00D23B8F">
        <w:rPr>
          <w:rFonts w:cstheme="minorHAnsi"/>
          <w:sz w:val="24"/>
          <w:szCs w:val="24"/>
        </w:rPr>
        <w:lastRenderedPageBreak/>
        <w:t xml:space="preserve">be assured by the right signals being sent from the midstream and upstream agents. </w:t>
      </w:r>
    </w:p>
    <w:p w14:paraId="2E1EBE8B" w14:textId="40144E86" w:rsidR="003808AA" w:rsidRPr="00D23B8F" w:rsidRDefault="003808AA" w:rsidP="008B1F03">
      <w:pPr>
        <w:spacing w:line="480" w:lineRule="auto"/>
        <w:rPr>
          <w:rFonts w:cstheme="minorHAnsi"/>
          <w:sz w:val="24"/>
          <w:szCs w:val="24"/>
        </w:rPr>
      </w:pPr>
      <w:r w:rsidRPr="00D23B8F">
        <w:rPr>
          <w:rFonts w:cstheme="minorHAnsi"/>
          <w:sz w:val="24"/>
          <w:szCs w:val="24"/>
        </w:rPr>
        <w:t xml:space="preserve">The above elements have been brought together with the intention of beginning a discussion amongst stakeholders about how to mitigate the challenges and capitalise on the opportunities that exist in the field of Aboriginal and Torres </w:t>
      </w:r>
      <w:r w:rsidRPr="00D23B8F">
        <w:rPr>
          <w:rFonts w:cstheme="minorHAnsi"/>
          <w:sz w:val="24"/>
          <w:szCs w:val="24"/>
        </w:rPr>
        <w:lastRenderedPageBreak/>
        <w:t xml:space="preserve">Strait Islander data and statistics in higher education settings.  We contend that the conceptual framework described in this paper provides an opportunity to stimulate debate and action in this important domain.  Rather than simply naming the issues we have attempted to present them in a way that offers stakeholders a lens through which they can examine their own institutional practices systematically. A </w:t>
      </w:r>
      <w:r w:rsidRPr="00D23B8F">
        <w:rPr>
          <w:rFonts w:cstheme="minorHAnsi"/>
          <w:sz w:val="24"/>
          <w:szCs w:val="24"/>
        </w:rPr>
        <w:lastRenderedPageBreak/>
        <w:t>continuation of this important conversation throughout the sector, with subsequent measures being put in place could make a significant contribution to the wider and important goal of instilling culturally appropriate and responsive policies, practices and procedures across the sector.</w:t>
      </w:r>
    </w:p>
    <w:p w14:paraId="6C80AAAB" w14:textId="77777777" w:rsidR="003808AA" w:rsidRPr="00D23B8F" w:rsidRDefault="003808AA" w:rsidP="008B1F03">
      <w:pPr>
        <w:spacing w:line="480" w:lineRule="auto"/>
        <w:rPr>
          <w:rFonts w:cstheme="minorHAnsi"/>
          <w:sz w:val="30"/>
          <w:szCs w:val="28"/>
        </w:rPr>
      </w:pPr>
      <w:r w:rsidRPr="00D23B8F">
        <w:rPr>
          <w:rFonts w:cstheme="minorHAnsi"/>
          <w:sz w:val="24"/>
        </w:rPr>
        <w:t xml:space="preserve">The overarching goal in the development of a framework for understanding data quality issues in Aboriginal and Torres </w:t>
      </w:r>
      <w:r w:rsidRPr="00D23B8F">
        <w:rPr>
          <w:rFonts w:cstheme="minorHAnsi"/>
          <w:sz w:val="24"/>
        </w:rPr>
        <w:lastRenderedPageBreak/>
        <w:t xml:space="preserve">Strait Islander higher education data and statistics is to develop a greater and more sophisticated shared statistical literacy among the diverse stakeholder groups in order to support culturally appropriate and data-informed decision making nationally in the sector. </w:t>
      </w:r>
    </w:p>
    <w:p w14:paraId="1F204999" w14:textId="77777777" w:rsidR="003808AA" w:rsidRPr="00D23B8F" w:rsidRDefault="003808AA" w:rsidP="008B1F03">
      <w:pPr>
        <w:spacing w:line="480" w:lineRule="auto"/>
        <w:rPr>
          <w:rFonts w:cstheme="minorHAnsi"/>
          <w:sz w:val="24"/>
          <w:szCs w:val="24"/>
        </w:rPr>
      </w:pPr>
      <w:r w:rsidRPr="00D23B8F">
        <w:rPr>
          <w:rFonts w:cstheme="minorHAnsi"/>
          <w:sz w:val="24"/>
          <w:szCs w:val="24"/>
        </w:rPr>
        <w:t xml:space="preserve">This will require four essential components: </w:t>
      </w:r>
    </w:p>
    <w:p w14:paraId="34B44694" w14:textId="77777777" w:rsidR="003808AA" w:rsidRPr="00D23B8F" w:rsidRDefault="003808AA" w:rsidP="008B1F03">
      <w:pPr>
        <w:pStyle w:val="ListParagraph"/>
        <w:numPr>
          <w:ilvl w:val="0"/>
          <w:numId w:val="9"/>
        </w:numPr>
        <w:spacing w:line="480" w:lineRule="auto"/>
        <w:rPr>
          <w:rFonts w:cstheme="minorHAnsi"/>
          <w:sz w:val="24"/>
          <w:szCs w:val="24"/>
        </w:rPr>
      </w:pPr>
      <w:r w:rsidRPr="00D23B8F">
        <w:rPr>
          <w:rFonts w:cstheme="minorHAnsi"/>
          <w:sz w:val="24"/>
          <w:szCs w:val="24"/>
        </w:rPr>
        <w:lastRenderedPageBreak/>
        <w:t xml:space="preserve">A deeper understanding of the issues that impact on data quality in the sector. </w:t>
      </w:r>
    </w:p>
    <w:p w14:paraId="030466FF" w14:textId="77777777" w:rsidR="003808AA" w:rsidRPr="00D23B8F" w:rsidRDefault="003808AA" w:rsidP="008B1F03">
      <w:pPr>
        <w:pStyle w:val="ListParagraph"/>
        <w:numPr>
          <w:ilvl w:val="0"/>
          <w:numId w:val="9"/>
        </w:numPr>
        <w:spacing w:line="480" w:lineRule="auto"/>
        <w:rPr>
          <w:rFonts w:cstheme="minorHAnsi"/>
          <w:sz w:val="24"/>
          <w:szCs w:val="24"/>
        </w:rPr>
      </w:pPr>
      <w:r w:rsidRPr="00D23B8F">
        <w:rPr>
          <w:rFonts w:cstheme="minorHAnsi"/>
          <w:sz w:val="24"/>
          <w:szCs w:val="24"/>
        </w:rPr>
        <w:t xml:space="preserve">A national commitment to culturally competent and safe practices in the development, collection, interpretation and use of Indigenous higher education statistics. </w:t>
      </w:r>
    </w:p>
    <w:p w14:paraId="5AF00633" w14:textId="77777777" w:rsidR="003808AA" w:rsidRPr="00D23B8F" w:rsidRDefault="003808AA" w:rsidP="008B1F03">
      <w:pPr>
        <w:pStyle w:val="ListParagraph"/>
        <w:numPr>
          <w:ilvl w:val="0"/>
          <w:numId w:val="9"/>
        </w:numPr>
        <w:spacing w:line="480" w:lineRule="auto"/>
        <w:rPr>
          <w:rFonts w:cstheme="minorHAnsi"/>
          <w:sz w:val="24"/>
          <w:szCs w:val="24"/>
        </w:rPr>
      </w:pPr>
      <w:r w:rsidRPr="00D23B8F">
        <w:rPr>
          <w:rFonts w:cstheme="minorHAnsi"/>
          <w:sz w:val="24"/>
          <w:szCs w:val="24"/>
        </w:rPr>
        <w:lastRenderedPageBreak/>
        <w:t xml:space="preserve">A shared and agreed understanding of key indicators and their collection, interpretation and application. </w:t>
      </w:r>
    </w:p>
    <w:p w14:paraId="452AA9E5" w14:textId="77777777" w:rsidR="003808AA" w:rsidRPr="00D23B8F" w:rsidRDefault="003808AA" w:rsidP="008B1F03">
      <w:pPr>
        <w:pStyle w:val="ListParagraph"/>
        <w:numPr>
          <w:ilvl w:val="0"/>
          <w:numId w:val="9"/>
        </w:numPr>
        <w:spacing w:line="480" w:lineRule="auto"/>
        <w:rPr>
          <w:rFonts w:cstheme="minorHAnsi"/>
          <w:sz w:val="24"/>
          <w:szCs w:val="24"/>
        </w:rPr>
      </w:pPr>
      <w:r w:rsidRPr="00D23B8F">
        <w:rPr>
          <w:rFonts w:cstheme="minorHAnsi"/>
          <w:sz w:val="24"/>
          <w:szCs w:val="24"/>
        </w:rPr>
        <w:t>A national sectoral commitment to unmask and name issues that serve to obfuscate and politicise understanding of Indigenous engagement in higher education with the (mis)use of statistics and data.</w:t>
      </w:r>
    </w:p>
    <w:p w14:paraId="10C49F18" w14:textId="77777777" w:rsidR="003808AA" w:rsidRPr="00D23B8F" w:rsidRDefault="003808AA" w:rsidP="008B1F03">
      <w:pPr>
        <w:spacing w:line="480" w:lineRule="auto"/>
        <w:rPr>
          <w:rFonts w:cstheme="minorHAnsi"/>
          <w:sz w:val="24"/>
          <w:szCs w:val="24"/>
        </w:rPr>
      </w:pPr>
      <w:r w:rsidRPr="00D23B8F">
        <w:rPr>
          <w:rFonts w:cstheme="minorHAnsi"/>
          <w:sz w:val="24"/>
          <w:szCs w:val="24"/>
        </w:rPr>
        <w:lastRenderedPageBreak/>
        <w:t xml:space="preserve">The outcomes of this research offer a range of purposeful and strategic pathways to advance both the debate and the practice of pursuing sector wide collaborative efforts to address the issues of data quality in Aboriginal and Torres Strait Islander higher education statistics. </w:t>
      </w:r>
      <w:r w:rsidR="0032322D">
        <w:t xml:space="preserve">We </w:t>
      </w:r>
      <w:r w:rsidR="0032322D" w:rsidRPr="00F36003">
        <w:rPr>
          <w:sz w:val="24"/>
          <w:szCs w:val="24"/>
        </w:rPr>
        <w:t xml:space="preserve">have offered a fresh and expansive conceptual framework for identifying, thinking about and responding to the issues. </w:t>
      </w:r>
      <w:r w:rsidRPr="00F36003">
        <w:rPr>
          <w:rFonts w:cstheme="minorHAnsi"/>
          <w:sz w:val="24"/>
          <w:szCs w:val="24"/>
        </w:rPr>
        <w:t xml:space="preserve"> </w:t>
      </w:r>
      <w:r w:rsidR="00F0181F" w:rsidRPr="00F36003">
        <w:rPr>
          <w:rFonts w:cstheme="minorHAnsi"/>
          <w:sz w:val="24"/>
          <w:szCs w:val="24"/>
        </w:rPr>
        <w:t>I</w:t>
      </w:r>
      <w:r w:rsidRPr="00F36003">
        <w:rPr>
          <w:rFonts w:cstheme="minorHAnsi"/>
          <w:sz w:val="24"/>
          <w:szCs w:val="24"/>
        </w:rPr>
        <w:t xml:space="preserve">t is important </w:t>
      </w:r>
      <w:r w:rsidRPr="00F36003">
        <w:rPr>
          <w:rFonts w:cstheme="minorHAnsi"/>
          <w:sz w:val="24"/>
          <w:szCs w:val="24"/>
        </w:rPr>
        <w:lastRenderedPageBreak/>
        <w:t>that efforts be directed towards developing shared</w:t>
      </w:r>
      <w:r w:rsidRPr="00D23B8F">
        <w:rPr>
          <w:rFonts w:cstheme="minorHAnsi"/>
          <w:sz w:val="24"/>
          <w:szCs w:val="24"/>
        </w:rPr>
        <w:t xml:space="preserve"> critical statistical literacy across the sector. It is evident that the wide range of epistemic or interpretive communities implicated in the sector</w:t>
      </w:r>
      <w:r w:rsidR="00F36003">
        <w:rPr>
          <w:rFonts w:cstheme="minorHAnsi"/>
          <w:sz w:val="24"/>
          <w:szCs w:val="24"/>
        </w:rPr>
        <w:t xml:space="preserve"> has</w:t>
      </w:r>
      <w:r w:rsidRPr="00D23B8F">
        <w:rPr>
          <w:rFonts w:cstheme="minorHAnsi"/>
          <w:sz w:val="24"/>
          <w:szCs w:val="24"/>
        </w:rPr>
        <w:t xml:space="preserve"> developed ways of representing and discussing the issues of data quality.  The lack of a shared critical statistical  literacy has culminated in a general incapacity to find a ‘common language’ at all levels, upstream, </w:t>
      </w:r>
      <w:r w:rsidRPr="00D23B8F">
        <w:rPr>
          <w:rFonts w:cstheme="minorHAnsi"/>
          <w:sz w:val="24"/>
          <w:szCs w:val="24"/>
        </w:rPr>
        <w:lastRenderedPageBreak/>
        <w:t>midstream and downstream.  This ‘experience distant’ relationship (Throgmorton 2000) exacerbates communications difficulties that could be significantly ameliorated by the active pursuit of ‘experience near’.  As noted earlier this would require a ‘sustainable economy of spirit’ (Throgmorton 2000</w:t>
      </w:r>
      <w:r w:rsidR="00195935">
        <w:rPr>
          <w:rFonts w:cstheme="minorHAnsi"/>
          <w:sz w:val="24"/>
          <w:szCs w:val="24"/>
        </w:rPr>
        <w:t xml:space="preserve">: </w:t>
      </w:r>
      <w:r w:rsidRPr="00D23B8F">
        <w:rPr>
          <w:rFonts w:cstheme="minorHAnsi"/>
          <w:sz w:val="24"/>
          <w:szCs w:val="24"/>
        </w:rPr>
        <w:t>376) and a willingness to contribute items of as</w:t>
      </w:r>
      <w:r w:rsidRPr="00D23B8F">
        <w:rPr>
          <w:rFonts w:cstheme="minorHAnsi"/>
          <w:sz w:val="24"/>
          <w:szCs w:val="24"/>
        </w:rPr>
        <w:lastRenderedPageBreak/>
        <w:t xml:space="preserve">sertoric knowledge in ways that make them available for debate rather than positional strategies in pursuit of disciplinary ascendency.   </w:t>
      </w:r>
    </w:p>
    <w:p w14:paraId="62181A95" w14:textId="77777777" w:rsidR="00A016F7" w:rsidRPr="00D23B8F" w:rsidRDefault="00A016F7" w:rsidP="008B1F03">
      <w:pPr>
        <w:pStyle w:val="Heading1"/>
        <w:spacing w:line="480" w:lineRule="auto"/>
        <w:rPr>
          <w:rFonts w:asciiTheme="minorHAnsi" w:hAnsiTheme="minorHAnsi" w:cstheme="minorHAnsi"/>
        </w:rPr>
      </w:pPr>
      <w:r w:rsidRPr="00D23B8F">
        <w:rPr>
          <w:rFonts w:asciiTheme="minorHAnsi" w:hAnsiTheme="minorHAnsi" w:cstheme="minorHAnsi"/>
        </w:rPr>
        <w:lastRenderedPageBreak/>
        <w:t>Conclusion</w:t>
      </w:r>
      <w:r w:rsidR="004A4A08">
        <w:rPr>
          <w:rFonts w:asciiTheme="minorHAnsi" w:hAnsiTheme="minorHAnsi" w:cstheme="minorHAnsi"/>
        </w:rPr>
        <w:t xml:space="preserve"> and next steps</w:t>
      </w:r>
    </w:p>
    <w:p w14:paraId="51C0AF2D" w14:textId="77777777" w:rsidR="00F93BC3" w:rsidRPr="00D23B8F" w:rsidRDefault="00F93BC3" w:rsidP="008B1F03">
      <w:pPr>
        <w:spacing w:line="480" w:lineRule="auto"/>
        <w:rPr>
          <w:rFonts w:cstheme="minorHAnsi"/>
          <w:sz w:val="24"/>
          <w:szCs w:val="24"/>
        </w:rPr>
      </w:pPr>
      <w:r w:rsidRPr="00D23B8F">
        <w:rPr>
          <w:rFonts w:cstheme="minorHAnsi"/>
          <w:sz w:val="24"/>
          <w:szCs w:val="24"/>
        </w:rPr>
        <w:t xml:space="preserve">In this paper we have considered a number of challenges, assumptions complexities, and possible approaches to improving Aboriginal and Torres Strait Islander data and statistics in higher education.   We have outlined the context for improving data quality as it relates to Aboriginal and Torres Strait Islander higher education, and explored some </w:t>
      </w:r>
      <w:r w:rsidRPr="00D23B8F">
        <w:rPr>
          <w:rFonts w:cstheme="minorHAnsi"/>
          <w:sz w:val="24"/>
          <w:szCs w:val="24"/>
        </w:rPr>
        <w:lastRenderedPageBreak/>
        <w:t xml:space="preserve">specific statistical and data quality issues with reference to upstream, midstream and downstream elements.  </w:t>
      </w:r>
    </w:p>
    <w:p w14:paraId="680D4483" w14:textId="77777777" w:rsidR="001C51D9" w:rsidRDefault="003808AA" w:rsidP="008B1F03">
      <w:pPr>
        <w:spacing w:line="480" w:lineRule="auto"/>
        <w:rPr>
          <w:rFonts w:cstheme="minorHAnsi"/>
          <w:sz w:val="24"/>
          <w:szCs w:val="24"/>
        </w:rPr>
      </w:pPr>
      <w:r w:rsidRPr="00D23B8F">
        <w:rPr>
          <w:rFonts w:cstheme="minorHAnsi"/>
          <w:sz w:val="24"/>
          <w:szCs w:val="24"/>
        </w:rPr>
        <w:t>We have to a degree,</w:t>
      </w:r>
      <w:r w:rsidR="001C51D9">
        <w:rPr>
          <w:rFonts w:cstheme="minorHAnsi"/>
          <w:sz w:val="24"/>
          <w:szCs w:val="24"/>
        </w:rPr>
        <w:t xml:space="preserve"> and</w:t>
      </w:r>
      <w:r w:rsidRPr="00D23B8F">
        <w:rPr>
          <w:rFonts w:cstheme="minorHAnsi"/>
          <w:sz w:val="24"/>
          <w:szCs w:val="24"/>
        </w:rPr>
        <w:t xml:space="preserve"> for the purposes of clarity, artificially disaggregated the data quality issues into upstream, midstream and downstream but clearly they are integrated into a complex interplay </w:t>
      </w:r>
      <w:r w:rsidR="004A4A08">
        <w:rPr>
          <w:rFonts w:cstheme="minorHAnsi"/>
          <w:sz w:val="24"/>
          <w:szCs w:val="24"/>
        </w:rPr>
        <w:t xml:space="preserve">of </w:t>
      </w:r>
      <w:r w:rsidRPr="00D23B8F">
        <w:rPr>
          <w:rFonts w:cstheme="minorHAnsi"/>
          <w:sz w:val="24"/>
          <w:szCs w:val="24"/>
        </w:rPr>
        <w:t xml:space="preserve">social, cultural, political and </w:t>
      </w:r>
      <w:r w:rsidRPr="00D23B8F">
        <w:rPr>
          <w:rFonts w:cstheme="minorHAnsi"/>
          <w:sz w:val="24"/>
          <w:szCs w:val="24"/>
        </w:rPr>
        <w:lastRenderedPageBreak/>
        <w:t xml:space="preserve">pragmatic factors that have the capacity to impact on intentions and actions.  Our purpose was to offer a conceptual framework that provides an approach to systematically address data quality issues.  Our higher order purpose is to stimulate debate in pursuit of national data quality </w:t>
      </w:r>
      <w:r w:rsidR="00CE6002" w:rsidRPr="00D23B8F">
        <w:rPr>
          <w:rFonts w:cstheme="minorHAnsi"/>
          <w:sz w:val="24"/>
          <w:szCs w:val="24"/>
        </w:rPr>
        <w:t xml:space="preserve">standards </w:t>
      </w:r>
      <w:r w:rsidR="00DF0AEB" w:rsidRPr="00D23B8F">
        <w:rPr>
          <w:rFonts w:cstheme="minorHAnsi"/>
          <w:sz w:val="24"/>
          <w:szCs w:val="24"/>
        </w:rPr>
        <w:t>and guidelines</w:t>
      </w:r>
      <w:r w:rsidR="00CE6002" w:rsidRPr="00D23B8F">
        <w:rPr>
          <w:rFonts w:cstheme="minorHAnsi"/>
          <w:sz w:val="24"/>
          <w:szCs w:val="24"/>
        </w:rPr>
        <w:t xml:space="preserve"> </w:t>
      </w:r>
      <w:r w:rsidRPr="00D23B8F">
        <w:rPr>
          <w:rFonts w:cstheme="minorHAnsi"/>
          <w:sz w:val="24"/>
          <w:szCs w:val="24"/>
        </w:rPr>
        <w:t>to</w:t>
      </w:r>
      <w:r w:rsidR="00DF0AEB" w:rsidRPr="00D23B8F">
        <w:rPr>
          <w:rFonts w:cstheme="minorHAnsi"/>
          <w:sz w:val="24"/>
          <w:szCs w:val="24"/>
        </w:rPr>
        <w:t xml:space="preserve"> inform</w:t>
      </w:r>
      <w:r w:rsidRPr="00D23B8F">
        <w:rPr>
          <w:rFonts w:cstheme="minorHAnsi"/>
          <w:sz w:val="24"/>
          <w:szCs w:val="24"/>
        </w:rPr>
        <w:t xml:space="preserve"> policy and practice in this important domain.  </w:t>
      </w:r>
    </w:p>
    <w:p w14:paraId="02D5B49C" w14:textId="5AB2DFD0" w:rsidR="003808AA" w:rsidRPr="00D23B8F" w:rsidRDefault="003808AA" w:rsidP="003A548B">
      <w:pPr>
        <w:spacing w:line="480" w:lineRule="auto"/>
        <w:rPr>
          <w:rFonts w:cstheme="minorHAnsi"/>
          <w:sz w:val="24"/>
          <w:szCs w:val="24"/>
        </w:rPr>
      </w:pPr>
      <w:r w:rsidRPr="00D23B8F">
        <w:rPr>
          <w:rFonts w:cstheme="minorHAnsi"/>
          <w:sz w:val="24"/>
          <w:szCs w:val="24"/>
        </w:rPr>
        <w:lastRenderedPageBreak/>
        <w:t>In a forthcoming paper we will lay the foundation for a data quality framework. In anticipation of that paper some clear indicators towards the development of guiding principles have emerged from th</w:t>
      </w:r>
      <w:r w:rsidR="00A04F33">
        <w:rPr>
          <w:rFonts w:cstheme="minorHAnsi"/>
          <w:sz w:val="24"/>
          <w:szCs w:val="24"/>
        </w:rPr>
        <w:t>e</w:t>
      </w:r>
      <w:r w:rsidRPr="00D23B8F">
        <w:rPr>
          <w:rFonts w:cstheme="minorHAnsi"/>
          <w:sz w:val="24"/>
          <w:szCs w:val="24"/>
        </w:rPr>
        <w:t xml:space="preserve"> investigation</w:t>
      </w:r>
      <w:r w:rsidR="00A04F33">
        <w:rPr>
          <w:rFonts w:cstheme="minorHAnsi"/>
          <w:sz w:val="24"/>
          <w:szCs w:val="24"/>
        </w:rPr>
        <w:t xml:space="preserve"> outlined in the current paper</w:t>
      </w:r>
      <w:r w:rsidRPr="00D23B8F">
        <w:rPr>
          <w:rFonts w:cstheme="minorHAnsi"/>
          <w:sz w:val="24"/>
          <w:szCs w:val="24"/>
        </w:rPr>
        <w:t>.  We conclude that a Data Quality Framework should address (at least) the following:</w:t>
      </w:r>
    </w:p>
    <w:p w14:paraId="5B7E7812" w14:textId="2733D089" w:rsidR="003808AA" w:rsidRPr="00D23B8F" w:rsidRDefault="003808AA" w:rsidP="004A4A08">
      <w:pPr>
        <w:pStyle w:val="ListParagraph"/>
        <w:numPr>
          <w:ilvl w:val="0"/>
          <w:numId w:val="25"/>
        </w:numPr>
        <w:spacing w:after="0" w:line="480" w:lineRule="auto"/>
        <w:rPr>
          <w:rFonts w:cstheme="minorHAnsi"/>
          <w:sz w:val="24"/>
          <w:szCs w:val="24"/>
        </w:rPr>
      </w:pPr>
      <w:r w:rsidRPr="00D23B8F">
        <w:rPr>
          <w:rFonts w:cstheme="minorHAnsi"/>
          <w:sz w:val="24"/>
          <w:szCs w:val="24"/>
        </w:rPr>
        <w:lastRenderedPageBreak/>
        <w:t xml:space="preserve">Name, interrogate and challenge the cultural insensitivity and inherent </w:t>
      </w:r>
      <w:r w:rsidR="00EA5822">
        <w:rPr>
          <w:rFonts w:cstheme="minorHAnsi"/>
          <w:sz w:val="24"/>
          <w:szCs w:val="24"/>
        </w:rPr>
        <w:t>‘</w:t>
      </w:r>
      <w:r w:rsidRPr="00D23B8F">
        <w:rPr>
          <w:rFonts w:cstheme="minorHAnsi"/>
          <w:sz w:val="24"/>
          <w:szCs w:val="24"/>
        </w:rPr>
        <w:t>whiteness</w:t>
      </w:r>
      <w:r w:rsidR="00EA5822">
        <w:rPr>
          <w:rFonts w:cstheme="minorHAnsi"/>
          <w:sz w:val="24"/>
          <w:szCs w:val="24"/>
        </w:rPr>
        <w:t>’</w:t>
      </w:r>
      <w:r w:rsidRPr="00D23B8F">
        <w:rPr>
          <w:rFonts w:cstheme="minorHAnsi"/>
          <w:sz w:val="24"/>
          <w:szCs w:val="24"/>
        </w:rPr>
        <w:t xml:space="preserve"> of many current practices.</w:t>
      </w:r>
    </w:p>
    <w:p w14:paraId="1DD13B9C" w14:textId="3B7D8F85" w:rsidR="003808AA" w:rsidRPr="00D23B8F" w:rsidRDefault="003808AA" w:rsidP="004A4A08">
      <w:pPr>
        <w:pStyle w:val="ListParagraph"/>
        <w:numPr>
          <w:ilvl w:val="0"/>
          <w:numId w:val="25"/>
        </w:numPr>
        <w:spacing w:after="0" w:line="480" w:lineRule="auto"/>
        <w:rPr>
          <w:rFonts w:cstheme="minorHAnsi"/>
          <w:sz w:val="24"/>
          <w:szCs w:val="24"/>
        </w:rPr>
      </w:pPr>
      <w:r w:rsidRPr="00D23B8F">
        <w:rPr>
          <w:rFonts w:cstheme="minorHAnsi"/>
          <w:sz w:val="24"/>
          <w:szCs w:val="24"/>
        </w:rPr>
        <w:t xml:space="preserve">Avoid the </w:t>
      </w:r>
      <w:r w:rsidR="00EA5822">
        <w:rPr>
          <w:rFonts w:cstheme="minorHAnsi"/>
          <w:sz w:val="24"/>
          <w:szCs w:val="24"/>
        </w:rPr>
        <w:t>‘</w:t>
      </w:r>
      <w:r w:rsidRPr="00D23B8F">
        <w:rPr>
          <w:rFonts w:cstheme="minorHAnsi"/>
          <w:sz w:val="24"/>
          <w:szCs w:val="24"/>
        </w:rPr>
        <w:t>one-size-fits-all</w:t>
      </w:r>
      <w:r w:rsidR="00EA5822">
        <w:rPr>
          <w:rFonts w:cstheme="minorHAnsi"/>
          <w:sz w:val="24"/>
          <w:szCs w:val="24"/>
        </w:rPr>
        <w:t>’</w:t>
      </w:r>
      <w:r w:rsidRPr="00D23B8F">
        <w:rPr>
          <w:rFonts w:cstheme="minorHAnsi"/>
          <w:sz w:val="24"/>
          <w:szCs w:val="24"/>
        </w:rPr>
        <w:t xml:space="preserve"> solution (Broadbent 2004).  Remain aware of initiatives in which progress is </w:t>
      </w:r>
      <w:r w:rsidR="00EA5822">
        <w:rPr>
          <w:rFonts w:cstheme="minorHAnsi"/>
          <w:sz w:val="24"/>
          <w:szCs w:val="24"/>
        </w:rPr>
        <w:t>‘</w:t>
      </w:r>
      <w:r w:rsidRPr="00D23B8F">
        <w:rPr>
          <w:rFonts w:cstheme="minorHAnsi"/>
          <w:sz w:val="24"/>
          <w:szCs w:val="24"/>
        </w:rPr>
        <w:t>far too subtle and context specific to be amenable to global targets</w:t>
      </w:r>
      <w:r w:rsidR="00EA5822">
        <w:rPr>
          <w:rFonts w:cstheme="minorHAnsi"/>
          <w:sz w:val="24"/>
          <w:szCs w:val="24"/>
        </w:rPr>
        <w:t>’</w:t>
      </w:r>
      <w:r w:rsidRPr="00D23B8F">
        <w:rPr>
          <w:rFonts w:cstheme="minorHAnsi"/>
          <w:sz w:val="24"/>
          <w:szCs w:val="24"/>
        </w:rPr>
        <w:t xml:space="preserve"> (4).</w:t>
      </w:r>
    </w:p>
    <w:p w14:paraId="7EE89DD2" w14:textId="77777777" w:rsidR="003808AA" w:rsidRPr="00D23B8F" w:rsidRDefault="003808AA" w:rsidP="004A4A08">
      <w:pPr>
        <w:pStyle w:val="ListParagraph"/>
        <w:numPr>
          <w:ilvl w:val="0"/>
          <w:numId w:val="25"/>
        </w:numPr>
        <w:spacing w:after="0" w:line="480" w:lineRule="auto"/>
        <w:rPr>
          <w:rFonts w:cstheme="minorHAnsi"/>
          <w:sz w:val="24"/>
          <w:szCs w:val="24"/>
        </w:rPr>
      </w:pPr>
      <w:r w:rsidRPr="00D23B8F">
        <w:rPr>
          <w:rFonts w:cstheme="minorHAnsi"/>
          <w:sz w:val="24"/>
          <w:szCs w:val="24"/>
        </w:rPr>
        <w:lastRenderedPageBreak/>
        <w:t>Focus on success indicators as well as failure indicators as part of a commitment to developing strengths-based narrative in the higher education experience of Aboriginal and Torres Strait Islander peoples</w:t>
      </w:r>
      <w:r w:rsidR="00351E5C">
        <w:rPr>
          <w:rFonts w:cstheme="minorHAnsi"/>
          <w:sz w:val="24"/>
          <w:szCs w:val="24"/>
        </w:rPr>
        <w:t>.</w:t>
      </w:r>
      <w:r w:rsidR="004A4A08">
        <w:rPr>
          <w:rFonts w:cstheme="minorHAnsi"/>
          <w:sz w:val="24"/>
          <w:szCs w:val="24"/>
        </w:rPr>
        <w:t xml:space="preserve"> </w:t>
      </w:r>
    </w:p>
    <w:p w14:paraId="3CFB6C70" w14:textId="23798B8E" w:rsidR="003808AA" w:rsidRPr="00D23B8F" w:rsidRDefault="00FC0EF9" w:rsidP="004A4A08">
      <w:pPr>
        <w:pStyle w:val="ListParagraph"/>
        <w:numPr>
          <w:ilvl w:val="0"/>
          <w:numId w:val="25"/>
        </w:numPr>
        <w:spacing w:after="0" w:line="480" w:lineRule="auto"/>
        <w:rPr>
          <w:rFonts w:cstheme="minorHAnsi"/>
          <w:sz w:val="24"/>
          <w:szCs w:val="24"/>
        </w:rPr>
      </w:pPr>
      <w:r>
        <w:rPr>
          <w:rFonts w:cstheme="minorHAnsi"/>
          <w:sz w:val="24"/>
          <w:szCs w:val="24"/>
        </w:rPr>
        <w:t>N</w:t>
      </w:r>
      <w:r w:rsidR="003808AA" w:rsidRPr="00D23B8F">
        <w:rPr>
          <w:rFonts w:cstheme="minorHAnsi"/>
          <w:sz w:val="24"/>
          <w:szCs w:val="24"/>
        </w:rPr>
        <w:t xml:space="preserve">ame, interrogate and challenge the small and large </w:t>
      </w:r>
      <w:r w:rsidR="000D2497">
        <w:rPr>
          <w:rFonts w:cstheme="minorHAnsi"/>
          <w:sz w:val="24"/>
          <w:szCs w:val="24"/>
        </w:rPr>
        <w:t>‘</w:t>
      </w:r>
      <w:r w:rsidR="003808AA" w:rsidRPr="00D23B8F">
        <w:rPr>
          <w:rFonts w:cstheme="minorHAnsi"/>
          <w:sz w:val="24"/>
          <w:szCs w:val="24"/>
        </w:rPr>
        <w:t>P</w:t>
      </w:r>
      <w:r w:rsidR="000D2497">
        <w:rPr>
          <w:rFonts w:cstheme="minorHAnsi"/>
          <w:sz w:val="24"/>
          <w:szCs w:val="24"/>
        </w:rPr>
        <w:t>’</w:t>
      </w:r>
      <w:r w:rsidR="003808AA" w:rsidRPr="00D23B8F">
        <w:rPr>
          <w:rFonts w:cstheme="minorHAnsi"/>
          <w:sz w:val="24"/>
          <w:szCs w:val="24"/>
        </w:rPr>
        <w:t xml:space="preserve"> political context of data collection, interpretation and use</w:t>
      </w:r>
      <w:r w:rsidR="004A4A08">
        <w:rPr>
          <w:rFonts w:cstheme="minorHAnsi"/>
          <w:sz w:val="24"/>
          <w:szCs w:val="24"/>
        </w:rPr>
        <w:t xml:space="preserve"> (Walter 2010)</w:t>
      </w:r>
      <w:r w:rsidR="003808AA" w:rsidRPr="00D23B8F">
        <w:rPr>
          <w:rFonts w:cstheme="minorHAnsi"/>
          <w:sz w:val="24"/>
          <w:szCs w:val="24"/>
        </w:rPr>
        <w:t>.</w:t>
      </w:r>
    </w:p>
    <w:p w14:paraId="147BD4F0" w14:textId="60251AA0" w:rsidR="003808AA" w:rsidRPr="00D23B8F" w:rsidRDefault="003808AA" w:rsidP="004A4A08">
      <w:pPr>
        <w:pStyle w:val="ListParagraph"/>
        <w:numPr>
          <w:ilvl w:val="0"/>
          <w:numId w:val="25"/>
        </w:numPr>
        <w:spacing w:after="0" w:line="480" w:lineRule="auto"/>
        <w:rPr>
          <w:rFonts w:cstheme="minorHAnsi"/>
          <w:sz w:val="24"/>
          <w:szCs w:val="24"/>
        </w:rPr>
      </w:pPr>
      <w:r w:rsidRPr="00D23B8F">
        <w:rPr>
          <w:rFonts w:cstheme="minorHAnsi"/>
          <w:sz w:val="24"/>
          <w:szCs w:val="24"/>
        </w:rPr>
        <w:lastRenderedPageBreak/>
        <w:t>Agree</w:t>
      </w:r>
      <w:r w:rsidR="0098075B">
        <w:rPr>
          <w:rFonts w:cstheme="minorHAnsi"/>
          <w:sz w:val="24"/>
          <w:szCs w:val="24"/>
        </w:rPr>
        <w:t>d</w:t>
      </w:r>
      <w:r w:rsidRPr="00D23B8F">
        <w:rPr>
          <w:rFonts w:cstheme="minorHAnsi"/>
          <w:sz w:val="24"/>
          <w:szCs w:val="24"/>
        </w:rPr>
        <w:t xml:space="preserve"> national standards for reporting.  The ABS has a lead role in this respect.</w:t>
      </w:r>
    </w:p>
    <w:p w14:paraId="6DA4C344" w14:textId="7314D589" w:rsidR="003808AA" w:rsidRPr="00D23B8F" w:rsidRDefault="00351E5C" w:rsidP="004A4A08">
      <w:pPr>
        <w:pStyle w:val="ListParagraph"/>
        <w:numPr>
          <w:ilvl w:val="0"/>
          <w:numId w:val="25"/>
        </w:numPr>
        <w:spacing w:after="0" w:line="480" w:lineRule="auto"/>
        <w:rPr>
          <w:rFonts w:cstheme="minorHAnsi"/>
          <w:sz w:val="24"/>
          <w:szCs w:val="24"/>
        </w:rPr>
      </w:pPr>
      <w:r>
        <w:rPr>
          <w:rFonts w:cstheme="minorHAnsi"/>
          <w:sz w:val="24"/>
          <w:szCs w:val="24"/>
        </w:rPr>
        <w:t xml:space="preserve">Ensure </w:t>
      </w:r>
      <w:r w:rsidRPr="00D23B8F">
        <w:rPr>
          <w:rFonts w:cstheme="minorHAnsi"/>
          <w:sz w:val="24"/>
          <w:szCs w:val="24"/>
        </w:rPr>
        <w:t>quality management in data services</w:t>
      </w:r>
      <w:r>
        <w:rPr>
          <w:rFonts w:cstheme="minorHAnsi"/>
          <w:sz w:val="24"/>
          <w:szCs w:val="24"/>
        </w:rPr>
        <w:t>, that is,</w:t>
      </w:r>
      <w:r w:rsidRPr="00D23B8F" w:rsidDel="00FC0EF9">
        <w:rPr>
          <w:rFonts w:cstheme="minorHAnsi"/>
          <w:sz w:val="24"/>
          <w:szCs w:val="24"/>
        </w:rPr>
        <w:t xml:space="preserve"> </w:t>
      </w:r>
      <w:r w:rsidR="00FC0EF9">
        <w:rPr>
          <w:rFonts w:cstheme="minorHAnsi"/>
          <w:sz w:val="24"/>
          <w:szCs w:val="24"/>
        </w:rPr>
        <w:t>w</w:t>
      </w:r>
      <w:r w:rsidR="003808AA" w:rsidRPr="00D23B8F">
        <w:rPr>
          <w:rFonts w:cstheme="minorHAnsi"/>
          <w:sz w:val="24"/>
          <w:szCs w:val="24"/>
        </w:rPr>
        <w:t xml:space="preserve">hat Allen (2002) described as data that </w:t>
      </w:r>
      <w:r>
        <w:rPr>
          <w:rFonts w:cstheme="minorHAnsi"/>
          <w:sz w:val="24"/>
          <w:szCs w:val="24"/>
        </w:rPr>
        <w:t xml:space="preserve">are </w:t>
      </w:r>
      <w:r w:rsidR="00195935">
        <w:rPr>
          <w:rFonts w:cstheme="minorHAnsi"/>
          <w:sz w:val="24"/>
          <w:szCs w:val="24"/>
        </w:rPr>
        <w:t>‘</w:t>
      </w:r>
      <w:r w:rsidR="003808AA" w:rsidRPr="00D23B8F">
        <w:rPr>
          <w:rFonts w:cstheme="minorHAnsi"/>
          <w:sz w:val="24"/>
          <w:szCs w:val="24"/>
        </w:rPr>
        <w:t>fit for purpose</w:t>
      </w:r>
      <w:r w:rsidR="00195935">
        <w:rPr>
          <w:rFonts w:cstheme="minorHAnsi"/>
          <w:sz w:val="24"/>
          <w:szCs w:val="24"/>
        </w:rPr>
        <w:t>’</w:t>
      </w:r>
      <w:r w:rsidR="003808AA" w:rsidRPr="00D23B8F">
        <w:rPr>
          <w:rFonts w:cstheme="minorHAnsi"/>
          <w:sz w:val="24"/>
          <w:szCs w:val="24"/>
        </w:rPr>
        <w:t xml:space="preserve"> (1).</w:t>
      </w:r>
    </w:p>
    <w:p w14:paraId="198EF25C" w14:textId="5FB49C96" w:rsidR="003808AA" w:rsidRPr="00351E5C" w:rsidRDefault="00FC0EF9" w:rsidP="00351E5C">
      <w:pPr>
        <w:pStyle w:val="ListParagraph"/>
        <w:numPr>
          <w:ilvl w:val="0"/>
          <w:numId w:val="25"/>
        </w:numPr>
        <w:spacing w:after="0" w:line="480" w:lineRule="auto"/>
        <w:rPr>
          <w:rFonts w:cstheme="minorHAnsi"/>
          <w:sz w:val="24"/>
          <w:szCs w:val="24"/>
        </w:rPr>
      </w:pPr>
      <w:r w:rsidRPr="00351E5C">
        <w:rPr>
          <w:rFonts w:cstheme="minorHAnsi"/>
          <w:sz w:val="24"/>
          <w:szCs w:val="24"/>
        </w:rPr>
        <w:lastRenderedPageBreak/>
        <w:t>R</w:t>
      </w:r>
      <w:r w:rsidR="003808AA" w:rsidRPr="00351E5C">
        <w:rPr>
          <w:rFonts w:cstheme="minorHAnsi"/>
          <w:sz w:val="24"/>
          <w:szCs w:val="24"/>
        </w:rPr>
        <w:t>emain aware of the distinctiveness of context</w:t>
      </w:r>
      <w:r w:rsidR="00351E5C" w:rsidRPr="00351E5C">
        <w:rPr>
          <w:rFonts w:cstheme="minorHAnsi"/>
          <w:sz w:val="24"/>
          <w:szCs w:val="24"/>
        </w:rPr>
        <w:t xml:space="preserve"> while </w:t>
      </w:r>
      <w:r w:rsidR="00351E5C">
        <w:rPr>
          <w:rFonts w:cstheme="minorHAnsi"/>
          <w:sz w:val="24"/>
          <w:szCs w:val="24"/>
        </w:rPr>
        <w:t>n</w:t>
      </w:r>
      <w:r w:rsidR="003808AA" w:rsidRPr="00351E5C">
        <w:rPr>
          <w:rFonts w:cstheme="minorHAnsi"/>
          <w:sz w:val="24"/>
          <w:szCs w:val="24"/>
        </w:rPr>
        <w:t>ot promulgating homogenisation of Indigenous experience/culture in pursuit of standardisation.</w:t>
      </w:r>
    </w:p>
    <w:p w14:paraId="1BF47C8E" w14:textId="2EE817C9" w:rsidR="003808AA" w:rsidRPr="00D23B8F" w:rsidRDefault="003808AA" w:rsidP="004A4A08">
      <w:pPr>
        <w:pStyle w:val="ListParagraph"/>
        <w:numPr>
          <w:ilvl w:val="0"/>
          <w:numId w:val="25"/>
        </w:numPr>
        <w:spacing w:after="0" w:line="480" w:lineRule="auto"/>
        <w:rPr>
          <w:rFonts w:cstheme="minorHAnsi"/>
          <w:sz w:val="24"/>
          <w:szCs w:val="24"/>
        </w:rPr>
      </w:pPr>
      <w:r w:rsidRPr="00D23B8F">
        <w:rPr>
          <w:rFonts w:cstheme="minorHAnsi"/>
          <w:sz w:val="24"/>
          <w:szCs w:val="24"/>
        </w:rPr>
        <w:t>Agree</w:t>
      </w:r>
      <w:r w:rsidR="00351E5C">
        <w:rPr>
          <w:rFonts w:cstheme="minorHAnsi"/>
          <w:sz w:val="24"/>
          <w:szCs w:val="24"/>
        </w:rPr>
        <w:t xml:space="preserve"> on</w:t>
      </w:r>
      <w:r w:rsidRPr="00D23B8F">
        <w:rPr>
          <w:rFonts w:cstheme="minorHAnsi"/>
          <w:sz w:val="24"/>
          <w:szCs w:val="24"/>
        </w:rPr>
        <w:t xml:space="preserve"> definitions. There is a need for an agreed standard question or approach to ascertaining Indigenous identification to enhance consistency and compa</w:t>
      </w:r>
      <w:r w:rsidRPr="00D23B8F">
        <w:rPr>
          <w:rFonts w:cstheme="minorHAnsi"/>
          <w:sz w:val="24"/>
          <w:szCs w:val="24"/>
        </w:rPr>
        <w:lastRenderedPageBreak/>
        <w:t xml:space="preserve">rability across jurisdictions and sectors.  It is also important to have articulated processes to follow if a student does not want to answer such questions (Allbon </w:t>
      </w:r>
      <w:r w:rsidR="00195935">
        <w:rPr>
          <w:rFonts w:cstheme="minorHAnsi"/>
          <w:sz w:val="24"/>
          <w:szCs w:val="24"/>
        </w:rPr>
        <w:t>and</w:t>
      </w:r>
      <w:r w:rsidR="00195935" w:rsidRPr="00D23B8F">
        <w:rPr>
          <w:rFonts w:cstheme="minorHAnsi"/>
          <w:sz w:val="24"/>
          <w:szCs w:val="24"/>
        </w:rPr>
        <w:t xml:space="preserve"> </w:t>
      </w:r>
      <w:r w:rsidRPr="00D23B8F">
        <w:rPr>
          <w:rFonts w:cstheme="minorHAnsi"/>
          <w:sz w:val="24"/>
          <w:szCs w:val="24"/>
        </w:rPr>
        <w:t>Trewin 2006).</w:t>
      </w:r>
    </w:p>
    <w:p w14:paraId="0D5B11DB" w14:textId="2EBE0864" w:rsidR="003808AA" w:rsidRDefault="00B02415" w:rsidP="004A4A08">
      <w:pPr>
        <w:pStyle w:val="ListParagraph"/>
        <w:numPr>
          <w:ilvl w:val="0"/>
          <w:numId w:val="25"/>
        </w:numPr>
        <w:spacing w:after="0" w:line="480" w:lineRule="auto"/>
        <w:rPr>
          <w:rFonts w:cstheme="minorHAnsi"/>
          <w:sz w:val="24"/>
          <w:szCs w:val="24"/>
        </w:rPr>
      </w:pPr>
      <w:r>
        <w:rPr>
          <w:rFonts w:cstheme="minorHAnsi"/>
          <w:sz w:val="24"/>
          <w:szCs w:val="24"/>
        </w:rPr>
        <w:t>Establish</w:t>
      </w:r>
      <w:r w:rsidR="00351E5C">
        <w:rPr>
          <w:rFonts w:cstheme="minorHAnsi"/>
          <w:sz w:val="24"/>
          <w:szCs w:val="24"/>
        </w:rPr>
        <w:t xml:space="preserve"> c</w:t>
      </w:r>
      <w:r w:rsidR="003808AA" w:rsidRPr="00D23B8F">
        <w:rPr>
          <w:rFonts w:cstheme="minorHAnsi"/>
          <w:sz w:val="24"/>
          <w:szCs w:val="24"/>
        </w:rPr>
        <w:t xml:space="preserve">ontinuing professional development </w:t>
      </w:r>
      <w:r w:rsidR="003A548B">
        <w:rPr>
          <w:rFonts w:cstheme="minorHAnsi"/>
          <w:sz w:val="24"/>
          <w:szCs w:val="24"/>
        </w:rPr>
        <w:t xml:space="preserve">opportunities </w:t>
      </w:r>
      <w:r w:rsidR="003808AA" w:rsidRPr="00D23B8F">
        <w:rPr>
          <w:rFonts w:cstheme="minorHAnsi"/>
          <w:sz w:val="24"/>
          <w:szCs w:val="24"/>
        </w:rPr>
        <w:t>to enhance shared statistical literacy.</w:t>
      </w:r>
    </w:p>
    <w:p w14:paraId="79C8AFDC" w14:textId="77777777" w:rsidR="004A0FD0" w:rsidRPr="00D23B8F" w:rsidRDefault="002731D2" w:rsidP="004A4A08">
      <w:pPr>
        <w:pStyle w:val="ListParagraph"/>
        <w:numPr>
          <w:ilvl w:val="0"/>
          <w:numId w:val="25"/>
        </w:numPr>
        <w:spacing w:after="0" w:line="480" w:lineRule="auto"/>
        <w:rPr>
          <w:rFonts w:cstheme="minorHAnsi"/>
          <w:sz w:val="24"/>
          <w:szCs w:val="24"/>
        </w:rPr>
      </w:pPr>
      <w:r>
        <w:rPr>
          <w:rFonts w:cstheme="minorHAnsi"/>
          <w:sz w:val="24"/>
          <w:szCs w:val="24"/>
        </w:rPr>
        <w:lastRenderedPageBreak/>
        <w:t>In line with international human rights standards, e</w:t>
      </w:r>
      <w:r w:rsidR="004A0FD0">
        <w:rPr>
          <w:rFonts w:cstheme="minorHAnsi"/>
          <w:sz w:val="24"/>
          <w:szCs w:val="24"/>
        </w:rPr>
        <w:t>nsure a commitment to Aboriginal and Torres Strait Islander self-determination</w:t>
      </w:r>
      <w:r w:rsidR="0092029C">
        <w:rPr>
          <w:rFonts w:cstheme="minorHAnsi"/>
          <w:sz w:val="24"/>
          <w:szCs w:val="24"/>
        </w:rPr>
        <w:t xml:space="preserve"> in data gathering</w:t>
      </w:r>
      <w:r w:rsidR="004A0FD0">
        <w:rPr>
          <w:rFonts w:cstheme="minorHAnsi"/>
          <w:sz w:val="24"/>
          <w:szCs w:val="24"/>
        </w:rPr>
        <w:t xml:space="preserve">, including priority-setting and decision-making about the data to be collected </w:t>
      </w:r>
      <w:r w:rsidR="00136923">
        <w:rPr>
          <w:rFonts w:cstheme="minorHAnsi"/>
          <w:sz w:val="24"/>
          <w:szCs w:val="24"/>
        </w:rPr>
        <w:t>and the methodologies and methods used</w:t>
      </w:r>
      <w:r>
        <w:rPr>
          <w:rFonts w:cstheme="minorHAnsi"/>
          <w:sz w:val="24"/>
          <w:szCs w:val="24"/>
        </w:rPr>
        <w:t xml:space="preserve">.  </w:t>
      </w:r>
      <w:r>
        <w:rPr>
          <w:rFonts w:cstheme="minorHAnsi"/>
          <w:sz w:val="24"/>
          <w:szCs w:val="24"/>
        </w:rPr>
        <w:lastRenderedPageBreak/>
        <w:t>This also includes obtaining</w:t>
      </w:r>
      <w:r w:rsidR="00D750AE">
        <w:rPr>
          <w:rFonts w:cstheme="minorHAnsi"/>
          <w:sz w:val="24"/>
          <w:szCs w:val="24"/>
        </w:rPr>
        <w:t xml:space="preserve"> the free, prior and informed consent of those whose data is to be collected</w:t>
      </w:r>
      <w:r w:rsidR="00136923">
        <w:rPr>
          <w:rFonts w:cstheme="minorHAnsi"/>
          <w:sz w:val="24"/>
          <w:szCs w:val="24"/>
        </w:rPr>
        <w:t xml:space="preserve"> </w:t>
      </w:r>
      <w:r w:rsidR="004A0FD0">
        <w:rPr>
          <w:rFonts w:cstheme="minorHAnsi"/>
          <w:sz w:val="24"/>
          <w:szCs w:val="24"/>
        </w:rPr>
        <w:t>(Kukutai and Walter 2015</w:t>
      </w:r>
      <w:r w:rsidR="0028675C">
        <w:rPr>
          <w:rFonts w:cstheme="minorHAnsi"/>
          <w:sz w:val="24"/>
          <w:szCs w:val="24"/>
        </w:rPr>
        <w:t>:323</w:t>
      </w:r>
      <w:r w:rsidR="004A0FD0">
        <w:rPr>
          <w:rFonts w:cstheme="minorHAnsi"/>
          <w:sz w:val="24"/>
          <w:szCs w:val="24"/>
        </w:rPr>
        <w:t>).</w:t>
      </w:r>
    </w:p>
    <w:p w14:paraId="230F78B2" w14:textId="77777777" w:rsidR="003808AA" w:rsidRPr="00D23B8F" w:rsidRDefault="003808AA" w:rsidP="008B1F03">
      <w:pPr>
        <w:spacing w:after="0" w:line="480" w:lineRule="auto"/>
        <w:rPr>
          <w:rFonts w:cstheme="minorHAnsi"/>
          <w:sz w:val="24"/>
          <w:szCs w:val="24"/>
        </w:rPr>
      </w:pPr>
    </w:p>
    <w:p w14:paraId="2395FC30" w14:textId="0BA61997" w:rsidR="00A759FE" w:rsidRPr="00D23B8F" w:rsidRDefault="00A759FE" w:rsidP="008B1F03">
      <w:pPr>
        <w:spacing w:after="0" w:line="480" w:lineRule="auto"/>
        <w:rPr>
          <w:rFonts w:cstheme="minorHAnsi"/>
          <w:sz w:val="24"/>
          <w:szCs w:val="24"/>
        </w:rPr>
      </w:pPr>
      <w:r w:rsidRPr="00D23B8F">
        <w:rPr>
          <w:rFonts w:cstheme="minorHAnsi"/>
          <w:sz w:val="24"/>
          <w:szCs w:val="24"/>
        </w:rPr>
        <w:t>In th</w:t>
      </w:r>
      <w:r w:rsidR="00070198">
        <w:rPr>
          <w:rFonts w:cstheme="minorHAnsi"/>
          <w:sz w:val="24"/>
          <w:szCs w:val="24"/>
        </w:rPr>
        <w:t>is</w:t>
      </w:r>
      <w:r w:rsidR="00E46195">
        <w:rPr>
          <w:rFonts w:cstheme="minorHAnsi"/>
          <w:sz w:val="24"/>
          <w:szCs w:val="24"/>
        </w:rPr>
        <w:t xml:space="preserve"> current</w:t>
      </w:r>
      <w:r w:rsidRPr="00D23B8F">
        <w:rPr>
          <w:rFonts w:cstheme="minorHAnsi"/>
          <w:sz w:val="24"/>
          <w:szCs w:val="24"/>
        </w:rPr>
        <w:t xml:space="preserve"> paper we have offered a point of provocation to challenge the dominant discursive agendas around the </w:t>
      </w:r>
      <w:r w:rsidRPr="00D23B8F">
        <w:rPr>
          <w:rFonts w:cstheme="minorHAnsi"/>
          <w:sz w:val="24"/>
          <w:szCs w:val="24"/>
        </w:rPr>
        <w:lastRenderedPageBreak/>
        <w:t xml:space="preserve">collection and use of data and statistics relating to Aboriginal and Torres Strait Islander peoples.  At the very least it is hoped that in doing so we have stimulated a conversation amongst stakeholders about Aboriginal and Torres Strait Islander higher education data and statistics as they currently stand.   </w:t>
      </w:r>
    </w:p>
    <w:p w14:paraId="4BF887C4" w14:textId="77777777" w:rsidR="00A759FE" w:rsidRPr="00D23B8F" w:rsidRDefault="00A759FE" w:rsidP="00982DD4">
      <w:pPr>
        <w:rPr>
          <w:rFonts w:cstheme="minorHAnsi"/>
        </w:rPr>
      </w:pPr>
    </w:p>
    <w:p w14:paraId="187D4B3D" w14:textId="77777777" w:rsidR="004B7260" w:rsidRPr="00D23B8F" w:rsidRDefault="004B7260" w:rsidP="004B7260">
      <w:pPr>
        <w:pStyle w:val="Heading1"/>
        <w:rPr>
          <w:rFonts w:asciiTheme="minorHAnsi" w:hAnsiTheme="minorHAnsi" w:cstheme="minorHAnsi"/>
        </w:rPr>
      </w:pPr>
      <w:bookmarkStart w:id="4" w:name="_Toc276714175"/>
      <w:r w:rsidRPr="00D23B8F">
        <w:rPr>
          <w:rFonts w:asciiTheme="minorHAnsi" w:hAnsiTheme="minorHAnsi" w:cstheme="minorHAnsi"/>
        </w:rPr>
        <w:lastRenderedPageBreak/>
        <w:t>References</w:t>
      </w:r>
      <w:bookmarkEnd w:id="4"/>
    </w:p>
    <w:p w14:paraId="19BC1F41" w14:textId="77777777" w:rsidR="007D4B6D" w:rsidRPr="00EF28B3" w:rsidRDefault="00D06834" w:rsidP="004B7260">
      <w:pPr>
        <w:pStyle w:val="EndNoteBibliography"/>
        <w:spacing w:before="60" w:after="0"/>
        <w:ind w:left="720" w:hanging="720"/>
        <w:rPr>
          <w:rFonts w:asciiTheme="minorHAnsi" w:hAnsiTheme="minorHAnsi" w:cstheme="minorHAnsi"/>
        </w:rPr>
      </w:pPr>
      <w:r w:rsidRPr="00D06834">
        <w:rPr>
          <w:rFonts w:asciiTheme="minorHAnsi" w:hAnsiTheme="minorHAnsi" w:cstheme="minorHAnsi"/>
        </w:rPr>
        <w:t xml:space="preserve">Adelman, Cliff (2010). 'Turning around international comparative indicators.' </w:t>
      </w:r>
      <w:r w:rsidRPr="00EF28B3">
        <w:rPr>
          <w:rFonts w:cstheme="minorHAnsi"/>
          <w:i/>
        </w:rPr>
        <w:t>New England Journal of Higher Education</w:t>
      </w:r>
      <w:r w:rsidRPr="00D06834">
        <w:rPr>
          <w:rFonts w:asciiTheme="minorHAnsi" w:hAnsiTheme="minorHAnsi" w:cstheme="minorHAnsi"/>
        </w:rPr>
        <w:t xml:space="preserve"> July 12: 2.</w:t>
      </w:r>
      <w:r w:rsidR="007D4B6D" w:rsidRPr="00EF28B3">
        <w:rPr>
          <w:rFonts w:asciiTheme="minorHAnsi" w:hAnsiTheme="minorHAnsi" w:cstheme="minorHAnsi"/>
        </w:rPr>
        <w:t xml:space="preserve">Allbon, P., &amp; Trewin, D. (2006). </w:t>
      </w:r>
      <w:r w:rsidR="007D4B6D" w:rsidRPr="00EF28B3">
        <w:rPr>
          <w:rFonts w:asciiTheme="minorHAnsi" w:hAnsiTheme="minorHAnsi" w:cstheme="minorHAnsi"/>
          <w:i/>
        </w:rPr>
        <w:t>Recent developments in the collection of Aboriginal and Torres Strait Islander health and welfare statistics 2005</w:t>
      </w:r>
      <w:r w:rsidR="007D4B6D" w:rsidRPr="00EF28B3">
        <w:rPr>
          <w:rFonts w:asciiTheme="minorHAnsi" w:hAnsiTheme="minorHAnsi" w:cstheme="minorHAnsi"/>
        </w:rPr>
        <w:t xml:space="preserve">. AIHW cat. no. IHW 15; ABS </w:t>
      </w:r>
      <w:r w:rsidR="00D623A1" w:rsidRPr="00EF28B3">
        <w:rPr>
          <w:rFonts w:asciiTheme="minorHAnsi" w:hAnsiTheme="minorHAnsi" w:cstheme="minorHAnsi"/>
        </w:rPr>
        <w:t xml:space="preserve">cat. no. 4704.0.55.00. </w:t>
      </w:r>
      <w:r w:rsidR="007D4B6D" w:rsidRPr="00EF28B3">
        <w:rPr>
          <w:rFonts w:asciiTheme="minorHAnsi" w:hAnsiTheme="minorHAnsi" w:cstheme="minorHAnsi"/>
        </w:rPr>
        <w:t>AIHW and ABS</w:t>
      </w:r>
      <w:r w:rsidR="00702C2E">
        <w:rPr>
          <w:rFonts w:asciiTheme="minorHAnsi" w:hAnsiTheme="minorHAnsi" w:cstheme="minorHAnsi"/>
        </w:rPr>
        <w:t xml:space="preserve">, </w:t>
      </w:r>
      <w:r w:rsidR="00702C2E" w:rsidRPr="00B92110">
        <w:rPr>
          <w:rFonts w:asciiTheme="minorHAnsi" w:hAnsiTheme="minorHAnsi" w:cstheme="minorHAnsi"/>
        </w:rPr>
        <w:t>Canberra</w:t>
      </w:r>
      <w:r w:rsidR="007D4B6D" w:rsidRPr="00EF28B3">
        <w:rPr>
          <w:rFonts w:asciiTheme="minorHAnsi" w:hAnsiTheme="minorHAnsi" w:cstheme="minorHAnsi"/>
        </w:rPr>
        <w:t xml:space="preserve">. </w:t>
      </w:r>
      <w:r w:rsidR="000B2BF3">
        <w:rPr>
          <w:rFonts w:asciiTheme="minorHAnsi" w:hAnsiTheme="minorHAnsi" w:cstheme="minorHAnsi"/>
        </w:rPr>
        <w:t>&lt;</w:t>
      </w:r>
      <w:r w:rsidR="00EF28B3" w:rsidRPr="00D23B8F">
        <w:t xml:space="preserve">http://www.aihw.gov.au/WorkArea/DownloadAsset.aspx?id=6442458600&gt; </w:t>
      </w:r>
      <w:r w:rsidR="000B2BF3">
        <w:rPr>
          <w:rFonts w:asciiTheme="minorHAnsi" w:hAnsiTheme="minorHAnsi" w:cstheme="minorHAnsi"/>
        </w:rPr>
        <w:t xml:space="preserve"> accessed </w:t>
      </w:r>
      <w:r w:rsidR="00EF28B3">
        <w:rPr>
          <w:rFonts w:asciiTheme="minorHAnsi" w:hAnsiTheme="minorHAnsi" w:cstheme="minorHAnsi"/>
        </w:rPr>
        <w:t xml:space="preserve">12 </w:t>
      </w:r>
      <w:r w:rsidR="000B2BF3">
        <w:rPr>
          <w:rFonts w:asciiTheme="minorHAnsi" w:hAnsiTheme="minorHAnsi" w:cstheme="minorHAnsi"/>
        </w:rPr>
        <w:t>February 2013</w:t>
      </w:r>
    </w:p>
    <w:p w14:paraId="0450CC02" w14:textId="08EB92DE" w:rsidR="000C4461" w:rsidRDefault="000C4461" w:rsidP="004B7260">
      <w:pPr>
        <w:pStyle w:val="EndNoteBibliography"/>
        <w:spacing w:before="60" w:after="0"/>
        <w:ind w:left="720" w:hanging="720"/>
        <w:rPr>
          <w:rFonts w:cstheme="minorHAnsi"/>
          <w:sz w:val="24"/>
          <w:szCs w:val="24"/>
        </w:rPr>
      </w:pPr>
      <w:r w:rsidRPr="00D23B8F">
        <w:rPr>
          <w:rFonts w:cstheme="minorHAnsi"/>
          <w:sz w:val="24"/>
          <w:szCs w:val="24"/>
        </w:rPr>
        <w:t>Allbon</w:t>
      </w:r>
      <w:r>
        <w:rPr>
          <w:rFonts w:cstheme="minorHAnsi"/>
          <w:sz w:val="24"/>
          <w:szCs w:val="24"/>
        </w:rPr>
        <w:t>, P</w:t>
      </w:r>
      <w:r w:rsidR="00AB500C">
        <w:rPr>
          <w:rFonts w:cstheme="minorHAnsi"/>
          <w:sz w:val="24"/>
          <w:szCs w:val="24"/>
        </w:rPr>
        <w:t>enny</w:t>
      </w:r>
      <w:r>
        <w:rPr>
          <w:rFonts w:cstheme="minorHAnsi"/>
          <w:sz w:val="24"/>
          <w:szCs w:val="24"/>
        </w:rPr>
        <w:t>.</w:t>
      </w:r>
      <w:r w:rsidRPr="00D23B8F">
        <w:rPr>
          <w:rFonts w:cstheme="minorHAnsi"/>
          <w:sz w:val="24"/>
          <w:szCs w:val="24"/>
        </w:rPr>
        <w:t xml:space="preserve"> </w:t>
      </w:r>
      <w:r>
        <w:rPr>
          <w:rFonts w:cstheme="minorHAnsi"/>
          <w:sz w:val="24"/>
          <w:szCs w:val="24"/>
        </w:rPr>
        <w:t>and</w:t>
      </w:r>
      <w:r w:rsidRPr="00D23B8F">
        <w:rPr>
          <w:rFonts w:cstheme="minorHAnsi"/>
          <w:sz w:val="24"/>
          <w:szCs w:val="24"/>
        </w:rPr>
        <w:t xml:space="preserve"> </w:t>
      </w:r>
      <w:r w:rsidR="00AB500C">
        <w:rPr>
          <w:rFonts w:cstheme="minorHAnsi"/>
          <w:sz w:val="24"/>
          <w:szCs w:val="24"/>
        </w:rPr>
        <w:t xml:space="preserve">Dennis </w:t>
      </w:r>
      <w:r w:rsidRPr="00D23B8F">
        <w:rPr>
          <w:rFonts w:cstheme="minorHAnsi"/>
          <w:sz w:val="24"/>
          <w:szCs w:val="24"/>
        </w:rPr>
        <w:t>Trewin</w:t>
      </w:r>
      <w:r>
        <w:rPr>
          <w:rFonts w:cstheme="minorHAnsi"/>
          <w:sz w:val="24"/>
          <w:szCs w:val="24"/>
        </w:rPr>
        <w:t xml:space="preserve"> (</w:t>
      </w:r>
      <w:r w:rsidRPr="00D23B8F">
        <w:rPr>
          <w:rFonts w:cstheme="minorHAnsi"/>
          <w:sz w:val="24"/>
          <w:szCs w:val="24"/>
        </w:rPr>
        <w:t>2006</w:t>
      </w:r>
      <w:r>
        <w:rPr>
          <w:rFonts w:cstheme="minorHAnsi"/>
          <w:sz w:val="24"/>
          <w:szCs w:val="24"/>
        </w:rPr>
        <w:t xml:space="preserve">). </w:t>
      </w:r>
      <w:r w:rsidRPr="003A548B">
        <w:rPr>
          <w:i/>
        </w:rPr>
        <w:t xml:space="preserve">Recent developments in the collection of Aboriginal and Torres Strait Islander health and welfare statistics 2005. </w:t>
      </w:r>
      <w:r>
        <w:t>AIHW cat. no. IHW 15; ABS cat. no. 4704.0.55.00. Canberra, ACT: AIHW and ABS</w:t>
      </w:r>
    </w:p>
    <w:p w14:paraId="6107CE03" w14:textId="2AAF12EA" w:rsidR="00EF28B3" w:rsidRDefault="000B2BF3" w:rsidP="004B7260">
      <w:pPr>
        <w:pStyle w:val="EndNoteBibliography"/>
        <w:spacing w:before="60" w:after="0"/>
        <w:ind w:left="720" w:hanging="720"/>
        <w:rPr>
          <w:rFonts w:asciiTheme="minorHAnsi" w:hAnsiTheme="minorHAnsi" w:cstheme="minorHAnsi"/>
        </w:rPr>
      </w:pPr>
      <w:r w:rsidRPr="000B2BF3">
        <w:rPr>
          <w:rFonts w:asciiTheme="minorHAnsi" w:hAnsiTheme="minorHAnsi" w:cstheme="minorHAnsi"/>
        </w:rPr>
        <w:lastRenderedPageBreak/>
        <w:t xml:space="preserve">Allen, Bill (2002). </w:t>
      </w:r>
      <w:r w:rsidR="00F945D0">
        <w:rPr>
          <w:rFonts w:asciiTheme="minorHAnsi" w:hAnsiTheme="minorHAnsi" w:cstheme="minorHAnsi"/>
        </w:rPr>
        <w:t>‘</w:t>
      </w:r>
      <w:r w:rsidRPr="000B2BF3">
        <w:rPr>
          <w:rFonts w:asciiTheme="minorHAnsi" w:hAnsiTheme="minorHAnsi" w:cstheme="minorHAnsi"/>
        </w:rPr>
        <w:t>Qualifying quality: A framework for suppo</w:t>
      </w:r>
      <w:r w:rsidR="00F945D0">
        <w:rPr>
          <w:rFonts w:asciiTheme="minorHAnsi" w:hAnsiTheme="minorHAnsi" w:cstheme="minorHAnsi"/>
        </w:rPr>
        <w:t>rting quality decision making.’</w:t>
      </w:r>
      <w:r w:rsidRPr="000B2BF3">
        <w:rPr>
          <w:rFonts w:asciiTheme="minorHAnsi" w:hAnsiTheme="minorHAnsi" w:cstheme="minorHAnsi"/>
        </w:rPr>
        <w:t xml:space="preserve"> Statistics Canada Symposium, 2001: </w:t>
      </w:r>
      <w:r w:rsidRPr="00EF28B3">
        <w:rPr>
          <w:rFonts w:asciiTheme="minorHAnsi" w:hAnsiTheme="minorHAnsi" w:cstheme="minorHAnsi"/>
          <w:i/>
        </w:rPr>
        <w:t>Achieving Data Quality in a Statistical Agency: A Methodological Perspective</w:t>
      </w:r>
      <w:r w:rsidRPr="000B2BF3">
        <w:rPr>
          <w:rFonts w:asciiTheme="minorHAnsi" w:hAnsiTheme="minorHAnsi" w:cstheme="minorHAnsi"/>
        </w:rPr>
        <w:t>, Statistics Canada.</w:t>
      </w:r>
      <w:r>
        <w:rPr>
          <w:rFonts w:asciiTheme="minorHAnsi" w:hAnsiTheme="minorHAnsi" w:cstheme="minorHAnsi"/>
        </w:rPr>
        <w:t xml:space="preserve"> </w:t>
      </w:r>
      <w:r w:rsidR="00D623A1">
        <w:rPr>
          <w:rFonts w:asciiTheme="minorHAnsi" w:hAnsiTheme="minorHAnsi" w:cstheme="minorHAnsi"/>
        </w:rPr>
        <w:t>&lt;</w:t>
      </w:r>
      <w:r w:rsidR="00702C2E" w:rsidRPr="00EF28B3">
        <w:rPr>
          <w:rFonts w:asciiTheme="minorHAnsi" w:hAnsiTheme="minorHAnsi" w:cstheme="minorHAnsi"/>
        </w:rPr>
        <w:t xml:space="preserve">http://www.statcan.gc.ca/pub/11-522-x/2001001/session21/6300-eng.pdf&gt; accessed </w:t>
      </w:r>
      <w:r w:rsidR="00EF28B3">
        <w:rPr>
          <w:rFonts w:asciiTheme="minorHAnsi" w:hAnsiTheme="minorHAnsi" w:cstheme="minorHAnsi"/>
        </w:rPr>
        <w:t xml:space="preserve">25 </w:t>
      </w:r>
      <w:r w:rsidR="00702C2E" w:rsidRPr="00EF28B3">
        <w:rPr>
          <w:rFonts w:asciiTheme="minorHAnsi" w:hAnsiTheme="minorHAnsi" w:cstheme="minorHAnsi"/>
        </w:rPr>
        <w:t xml:space="preserve">February </w:t>
      </w:r>
      <w:r>
        <w:rPr>
          <w:rFonts w:asciiTheme="minorHAnsi" w:hAnsiTheme="minorHAnsi" w:cstheme="minorHAnsi"/>
        </w:rPr>
        <w:t>2013.</w:t>
      </w:r>
    </w:p>
    <w:p w14:paraId="03773B49" w14:textId="77777777" w:rsidR="004B7260" w:rsidRPr="00D23B8F" w:rsidRDefault="00505BD0" w:rsidP="004B7260">
      <w:pPr>
        <w:pStyle w:val="EndNoteBibliography"/>
        <w:spacing w:before="60" w:after="0"/>
        <w:ind w:left="720" w:hanging="720"/>
        <w:rPr>
          <w:rFonts w:asciiTheme="minorHAnsi" w:hAnsiTheme="minorHAnsi" w:cstheme="minorHAnsi"/>
        </w:rPr>
      </w:pPr>
      <w:r w:rsidRPr="00505BD0">
        <w:rPr>
          <w:rFonts w:asciiTheme="minorHAnsi" w:hAnsiTheme="minorHAnsi" w:cstheme="minorHAnsi"/>
          <w:lang w:val="de-DE"/>
        </w:rPr>
        <w:t xml:space="preserve">Andersen, Clair, Tracey Bunda and Maggie Walter (2008). 'Indigenous higher education: The role of universities in releasing the potential.' </w:t>
      </w:r>
      <w:r w:rsidRPr="00D23B8F">
        <w:rPr>
          <w:rFonts w:asciiTheme="minorHAnsi" w:hAnsiTheme="minorHAnsi" w:cstheme="minorHAnsi"/>
          <w:i/>
          <w:lang w:val="de-DE"/>
        </w:rPr>
        <w:t>Australian Journal of Indigenous Education</w:t>
      </w:r>
      <w:r w:rsidRPr="00505BD0">
        <w:rPr>
          <w:rFonts w:asciiTheme="minorHAnsi" w:hAnsiTheme="minorHAnsi" w:cstheme="minorHAnsi"/>
          <w:lang w:val="de-DE"/>
        </w:rPr>
        <w:t xml:space="preserve"> 37: 1-8.</w:t>
      </w:r>
    </w:p>
    <w:p w14:paraId="102A0C1B" w14:textId="77777777" w:rsidR="004B7260" w:rsidRPr="00D23B8F" w:rsidRDefault="004B7260" w:rsidP="00B8227B">
      <w:pPr>
        <w:autoSpaceDE w:val="0"/>
        <w:autoSpaceDN w:val="0"/>
        <w:adjustRightInd w:val="0"/>
        <w:spacing w:before="60" w:after="0" w:line="240" w:lineRule="auto"/>
        <w:ind w:left="720" w:hanging="720"/>
        <w:rPr>
          <w:rStyle w:val="Hyperlink"/>
          <w:rFonts w:eastAsiaTheme="minorHAnsi" w:cstheme="minorHAnsi"/>
          <w:color w:val="auto"/>
          <w:u w:val="none"/>
          <w:lang w:eastAsia="en-US"/>
        </w:rPr>
      </w:pPr>
      <w:r w:rsidRPr="00D23B8F">
        <w:rPr>
          <w:rFonts w:eastAsiaTheme="minorHAnsi" w:cstheme="minorHAnsi"/>
          <w:lang w:eastAsia="en-US"/>
        </w:rPr>
        <w:t>Australian Bureau of Statistics.</w:t>
      </w:r>
      <w:r w:rsidRPr="00EF28B3">
        <w:rPr>
          <w:rFonts w:eastAsiaTheme="minorHAnsi" w:cstheme="minorHAnsi"/>
          <w:lang w:eastAsia="en-US"/>
        </w:rPr>
        <w:t xml:space="preserve"> (2010).</w:t>
      </w:r>
      <w:r w:rsidRPr="00EF28B3">
        <w:rPr>
          <w:rFonts w:eastAsiaTheme="minorHAnsi" w:cstheme="minorHAnsi"/>
          <w:i/>
          <w:iCs/>
          <w:lang w:eastAsia="en-US"/>
        </w:rPr>
        <w:t xml:space="preserve"> A guide for using statistics for evidence based policy, Cat no. 1500.0</w:t>
      </w:r>
      <w:r w:rsidR="00FB7B41" w:rsidRPr="00EF28B3">
        <w:rPr>
          <w:rFonts w:eastAsiaTheme="minorHAnsi" w:cstheme="minorHAnsi"/>
          <w:i/>
          <w:iCs/>
          <w:lang w:eastAsia="en-US"/>
        </w:rPr>
        <w:t>.</w:t>
      </w:r>
      <w:r w:rsidRPr="00EF28B3">
        <w:rPr>
          <w:rFonts w:eastAsiaTheme="minorHAnsi" w:cstheme="minorHAnsi"/>
          <w:i/>
          <w:iCs/>
          <w:lang w:eastAsia="en-US"/>
        </w:rPr>
        <w:t xml:space="preserve"> </w:t>
      </w:r>
      <w:r w:rsidR="00F12FC1">
        <w:rPr>
          <w:rFonts w:eastAsiaTheme="minorHAnsi" w:cstheme="minorHAnsi"/>
          <w:lang w:eastAsia="en-US"/>
        </w:rPr>
        <w:t>&lt;</w:t>
      </w:r>
      <w:r w:rsidRPr="00EF28B3">
        <w:rPr>
          <w:rFonts w:eastAsiaTheme="minorHAnsi" w:cstheme="minorHAnsi"/>
          <w:lang w:eastAsia="en-US"/>
        </w:rPr>
        <w:t xml:space="preserve"> </w:t>
      </w:r>
      <w:bookmarkStart w:id="5" w:name="_ENREF_12"/>
      <w:r w:rsidR="00EF28B3" w:rsidRPr="00EF28B3">
        <w:t>http://www.abs.gov.au/ausstats/abs@.nsf/lookup/1500.0chapter32010</w:t>
      </w:r>
      <w:r w:rsidR="00F12FC1">
        <w:rPr>
          <w:rFonts w:eastAsiaTheme="minorHAnsi" w:cstheme="minorHAnsi"/>
          <w:lang w:eastAsia="en-US"/>
        </w:rPr>
        <w:t>&gt; accessed 10 October 2013</w:t>
      </w:r>
      <w:r w:rsidR="00702C2E">
        <w:rPr>
          <w:rFonts w:eastAsiaTheme="minorHAnsi" w:cstheme="minorHAnsi"/>
          <w:lang w:eastAsia="en-US"/>
        </w:rPr>
        <w:t>.</w:t>
      </w:r>
    </w:p>
    <w:p w14:paraId="381F1E35" w14:textId="506DFEAD" w:rsidR="004B7260" w:rsidRPr="00EF28B3" w:rsidRDefault="004B7260" w:rsidP="004B7260">
      <w:pPr>
        <w:pStyle w:val="EndNoteBibliography"/>
        <w:spacing w:after="60"/>
        <w:ind w:left="720" w:hanging="720"/>
        <w:rPr>
          <w:rFonts w:asciiTheme="minorHAnsi" w:hAnsiTheme="minorHAnsi" w:cstheme="minorHAnsi"/>
        </w:rPr>
      </w:pPr>
      <w:r w:rsidRPr="00D23B8F">
        <w:rPr>
          <w:rFonts w:asciiTheme="minorHAnsi" w:hAnsiTheme="minorHAnsi" w:cstheme="minorHAnsi"/>
        </w:rPr>
        <w:lastRenderedPageBreak/>
        <w:t xml:space="preserve">Australian Bureau of Statistics </w:t>
      </w:r>
      <w:r w:rsidRPr="00EF28B3">
        <w:rPr>
          <w:rFonts w:asciiTheme="minorHAnsi" w:hAnsiTheme="minorHAnsi" w:cstheme="minorHAnsi"/>
        </w:rPr>
        <w:t xml:space="preserve">(2013). </w:t>
      </w:r>
      <w:r w:rsidRPr="00EF28B3">
        <w:rPr>
          <w:rFonts w:asciiTheme="minorHAnsi" w:hAnsiTheme="minorHAnsi" w:cstheme="minorHAnsi"/>
          <w:i/>
        </w:rPr>
        <w:t>Information Paper: Census of Population and Housing  2011.0.55.001.</w:t>
      </w:r>
      <w:r w:rsidRPr="00EF28B3">
        <w:rPr>
          <w:rFonts w:asciiTheme="minorHAnsi" w:hAnsiTheme="minorHAnsi" w:cstheme="minorHAnsi"/>
        </w:rPr>
        <w:t xml:space="preserve"> </w:t>
      </w:r>
      <w:r w:rsidR="00E40C7F">
        <w:rPr>
          <w:rFonts w:asciiTheme="minorHAnsi" w:hAnsiTheme="minorHAnsi" w:cstheme="minorHAnsi"/>
        </w:rPr>
        <w:t>&lt;</w:t>
      </w:r>
      <w:r w:rsidR="00EF28B3" w:rsidRPr="00EF28B3">
        <w:rPr>
          <w:rFonts w:asciiTheme="minorHAnsi" w:hAnsiTheme="minorHAnsi" w:cstheme="minorHAnsi"/>
        </w:rPr>
        <w:t>http://www.abs.gov.au/ausstats/abs@.nsf/lookup/2011.0.55.001Main%20Features802011</w:t>
      </w:r>
      <w:r w:rsidR="00E40C7F">
        <w:rPr>
          <w:rFonts w:asciiTheme="minorHAnsi" w:hAnsiTheme="minorHAnsi" w:cstheme="minorHAnsi"/>
        </w:rPr>
        <w:t xml:space="preserve">&gt; </w:t>
      </w:r>
      <w:r w:rsidR="00096F2D">
        <w:rPr>
          <w:rFonts w:asciiTheme="minorHAnsi" w:hAnsiTheme="minorHAnsi" w:cstheme="minorHAnsi"/>
        </w:rPr>
        <w:t>, accessed</w:t>
      </w:r>
      <w:r w:rsidR="00E40C7F">
        <w:rPr>
          <w:rFonts w:asciiTheme="minorHAnsi" w:hAnsiTheme="minorHAnsi" w:cstheme="minorHAnsi"/>
        </w:rPr>
        <w:t xml:space="preserve"> March 14, 2014</w:t>
      </w:r>
      <w:r w:rsidR="00702C2E">
        <w:rPr>
          <w:rFonts w:asciiTheme="minorHAnsi" w:hAnsiTheme="minorHAnsi" w:cstheme="minorHAnsi"/>
        </w:rPr>
        <w:t>.</w:t>
      </w:r>
    </w:p>
    <w:p w14:paraId="1CD6AC26" w14:textId="301837DA" w:rsidR="004B7260" w:rsidRPr="00EF28B3" w:rsidRDefault="004B7260" w:rsidP="004B7260">
      <w:pPr>
        <w:pStyle w:val="EndNoteBibliography"/>
        <w:spacing w:before="60" w:after="0"/>
        <w:ind w:left="720" w:hanging="720"/>
        <w:rPr>
          <w:rFonts w:asciiTheme="minorHAnsi" w:hAnsiTheme="minorHAnsi" w:cstheme="minorHAnsi"/>
        </w:rPr>
      </w:pPr>
      <w:bookmarkStart w:id="6" w:name="_ENREF_13"/>
      <w:bookmarkEnd w:id="5"/>
      <w:r w:rsidRPr="00EF28B3">
        <w:rPr>
          <w:rFonts w:asciiTheme="minorHAnsi" w:hAnsiTheme="minorHAnsi" w:cstheme="minorHAnsi"/>
        </w:rPr>
        <w:t>Australian Institute of Aboriginal and Torres Strait Islander Studie</w:t>
      </w:r>
      <w:r w:rsidR="000D2497">
        <w:rPr>
          <w:rFonts w:asciiTheme="minorHAnsi" w:hAnsiTheme="minorHAnsi" w:cstheme="minorHAnsi"/>
        </w:rPr>
        <w:t>s</w:t>
      </w:r>
      <w:r w:rsidRPr="00EF28B3">
        <w:rPr>
          <w:rFonts w:asciiTheme="minorHAnsi" w:hAnsiTheme="minorHAnsi" w:cstheme="minorHAnsi"/>
        </w:rPr>
        <w:t xml:space="preserve"> (2012). </w:t>
      </w:r>
      <w:r w:rsidRPr="00EF28B3">
        <w:rPr>
          <w:rFonts w:asciiTheme="minorHAnsi" w:hAnsiTheme="minorHAnsi" w:cstheme="minorHAnsi"/>
          <w:i/>
        </w:rPr>
        <w:t>Guidelines for Ethical Research in Australian Indigenous Studies (GERAIS).</w:t>
      </w:r>
      <w:r w:rsidRPr="00EF28B3">
        <w:rPr>
          <w:rFonts w:asciiTheme="minorHAnsi" w:hAnsiTheme="minorHAnsi" w:cstheme="minorHAnsi"/>
        </w:rPr>
        <w:t xml:space="preserve">  Revised </w:t>
      </w:r>
      <w:r w:rsidR="00093AA0" w:rsidRPr="00EF28B3">
        <w:rPr>
          <w:rFonts w:asciiTheme="minorHAnsi" w:hAnsiTheme="minorHAnsi" w:cstheme="minorHAnsi"/>
        </w:rPr>
        <w:t xml:space="preserve">2nd </w:t>
      </w:r>
      <w:r w:rsidRPr="00EF28B3">
        <w:rPr>
          <w:rFonts w:asciiTheme="minorHAnsi" w:hAnsiTheme="minorHAnsi" w:cstheme="minorHAnsi"/>
        </w:rPr>
        <w:t xml:space="preserve">ed. </w:t>
      </w:r>
      <w:bookmarkEnd w:id="6"/>
      <w:r w:rsidR="00EF28B3">
        <w:rPr>
          <w:rFonts w:asciiTheme="minorHAnsi" w:hAnsiTheme="minorHAnsi" w:cstheme="minorHAnsi"/>
        </w:rPr>
        <w:t>&lt;</w:t>
      </w:r>
      <w:r w:rsidR="00EF28B3" w:rsidRPr="00D23B8F">
        <w:t>http://www.aiatsis.gov.au/research/docs/GERAIS.pdf</w:t>
      </w:r>
      <w:r w:rsidR="00EF28B3">
        <w:rPr>
          <w:rFonts w:asciiTheme="minorHAnsi" w:hAnsiTheme="minorHAnsi" w:cstheme="minorHAnsi"/>
        </w:rPr>
        <w:t>&gt; accessed 12 July 2013.</w:t>
      </w:r>
      <w:r w:rsidR="00EF28B3">
        <w:rPr>
          <w:rStyle w:val="Hyperlink"/>
          <w:rFonts w:asciiTheme="minorHAnsi" w:hAnsiTheme="minorHAnsi" w:cstheme="minorHAnsi"/>
        </w:rPr>
        <w:t xml:space="preserve"> </w:t>
      </w:r>
    </w:p>
    <w:p w14:paraId="7296FFEC" w14:textId="2C2366F0" w:rsidR="004B7260" w:rsidRPr="00EF28B3" w:rsidRDefault="004B7260" w:rsidP="004B7260">
      <w:pPr>
        <w:pStyle w:val="EndNoteBibliography"/>
        <w:spacing w:before="60" w:after="0"/>
        <w:ind w:left="720" w:hanging="720"/>
        <w:rPr>
          <w:rFonts w:asciiTheme="minorHAnsi" w:hAnsiTheme="minorHAnsi" w:cstheme="minorHAnsi"/>
        </w:rPr>
      </w:pPr>
      <w:r w:rsidRPr="00EF28B3">
        <w:rPr>
          <w:rFonts w:asciiTheme="minorHAnsi" w:hAnsiTheme="minorHAnsi" w:cstheme="minorHAnsi"/>
        </w:rPr>
        <w:t xml:space="preserve">Australian Institute of Health and Welfare </w:t>
      </w:r>
      <w:r w:rsidR="009024A6">
        <w:rPr>
          <w:rFonts w:asciiTheme="minorHAnsi" w:hAnsiTheme="minorHAnsi" w:cstheme="minorHAnsi"/>
        </w:rPr>
        <w:t>and</w:t>
      </w:r>
      <w:r w:rsidR="009024A6" w:rsidRPr="00EF28B3">
        <w:rPr>
          <w:rFonts w:asciiTheme="minorHAnsi" w:hAnsiTheme="minorHAnsi" w:cstheme="minorHAnsi"/>
        </w:rPr>
        <w:t xml:space="preserve"> </w:t>
      </w:r>
      <w:r w:rsidRPr="00EF28B3">
        <w:rPr>
          <w:rFonts w:asciiTheme="minorHAnsi" w:hAnsiTheme="minorHAnsi" w:cstheme="minorHAnsi"/>
        </w:rPr>
        <w:t xml:space="preserve">Australian Bureau of Statistics (2006). </w:t>
      </w:r>
      <w:r w:rsidRPr="00EF28B3">
        <w:rPr>
          <w:rFonts w:asciiTheme="minorHAnsi" w:hAnsiTheme="minorHAnsi" w:cstheme="minorHAnsi"/>
          <w:i/>
        </w:rPr>
        <w:t>Recent developments in the collection of Aboriginal and Torres Strait Islander health and welfare statistics 2005.</w:t>
      </w:r>
      <w:r w:rsidRPr="00EF28B3">
        <w:rPr>
          <w:rFonts w:asciiTheme="minorHAnsi" w:hAnsiTheme="minorHAnsi" w:cstheme="minorHAnsi"/>
        </w:rPr>
        <w:t xml:space="preserve"> (Vol. AIHW cat. no. IHW 15; ABS cat. no. 4704.0.55.001.). </w:t>
      </w:r>
      <w:r w:rsidR="009024A6">
        <w:rPr>
          <w:rFonts w:asciiTheme="minorHAnsi" w:hAnsiTheme="minorHAnsi" w:cstheme="minorHAnsi"/>
        </w:rPr>
        <w:t xml:space="preserve">AIHW and </w:t>
      </w:r>
      <w:r w:rsidR="009024A6" w:rsidRPr="008D1460">
        <w:rPr>
          <w:rFonts w:asciiTheme="minorHAnsi" w:hAnsiTheme="minorHAnsi" w:cstheme="minorHAnsi"/>
        </w:rPr>
        <w:t>ABS</w:t>
      </w:r>
      <w:r w:rsidR="00702C2E">
        <w:rPr>
          <w:rFonts w:asciiTheme="minorHAnsi" w:hAnsiTheme="minorHAnsi" w:cstheme="minorHAnsi"/>
        </w:rPr>
        <w:t xml:space="preserve">, </w:t>
      </w:r>
      <w:r w:rsidR="009024A6" w:rsidRPr="009024A6">
        <w:rPr>
          <w:rFonts w:asciiTheme="minorHAnsi" w:hAnsiTheme="minorHAnsi" w:cstheme="minorHAnsi"/>
        </w:rPr>
        <w:t xml:space="preserve"> </w:t>
      </w:r>
      <w:r w:rsidRPr="00EF28B3">
        <w:rPr>
          <w:rFonts w:asciiTheme="minorHAnsi" w:hAnsiTheme="minorHAnsi" w:cstheme="minorHAnsi"/>
        </w:rPr>
        <w:t>Canberra.</w:t>
      </w:r>
    </w:p>
    <w:p w14:paraId="25E503F0" w14:textId="77777777" w:rsidR="00EF28B3" w:rsidRDefault="004F3CDC" w:rsidP="004B7260">
      <w:pPr>
        <w:pStyle w:val="EndNoteBibliography"/>
        <w:spacing w:before="60" w:after="0"/>
        <w:ind w:left="720" w:hanging="720"/>
        <w:rPr>
          <w:rFonts w:asciiTheme="minorHAnsi" w:hAnsiTheme="minorHAnsi" w:cstheme="minorHAnsi"/>
        </w:rPr>
      </w:pPr>
      <w:bookmarkStart w:id="7" w:name="_ENREF_16"/>
      <w:r w:rsidRPr="004F3CDC">
        <w:rPr>
          <w:rFonts w:asciiTheme="minorHAnsi" w:hAnsiTheme="minorHAnsi" w:cstheme="minorHAnsi"/>
        </w:rPr>
        <w:t xml:space="preserve">Behrendt, Larissa, Steven Larkin, Robert Griew and Patricia Kelly (2012). </w:t>
      </w:r>
      <w:r w:rsidRPr="00EF28B3">
        <w:rPr>
          <w:rFonts w:cstheme="minorHAnsi"/>
          <w:i/>
        </w:rPr>
        <w:t xml:space="preserve">Review of higher education access and </w:t>
      </w:r>
      <w:r w:rsidRPr="00EF28B3">
        <w:rPr>
          <w:rFonts w:cstheme="minorHAnsi"/>
          <w:i/>
        </w:rPr>
        <w:lastRenderedPageBreak/>
        <w:t>outcomes for Aboriginal and Torres Strait Islander people: Final report.</w:t>
      </w:r>
      <w:r w:rsidRPr="004F3CDC">
        <w:rPr>
          <w:rFonts w:asciiTheme="minorHAnsi" w:hAnsiTheme="minorHAnsi" w:cstheme="minorHAnsi"/>
        </w:rPr>
        <w:t xml:space="preserve"> Department of Industry, Innovation, Science, Research and Tertiary Education, Canberra.</w:t>
      </w:r>
      <w:bookmarkEnd w:id="7"/>
    </w:p>
    <w:p w14:paraId="5DD4C3C2" w14:textId="6530CD44" w:rsidR="00EF28B3" w:rsidRDefault="00702C2E" w:rsidP="004B7260">
      <w:pPr>
        <w:pStyle w:val="EndNoteBibliography"/>
        <w:spacing w:before="60" w:after="0"/>
        <w:ind w:left="720" w:hanging="720"/>
        <w:rPr>
          <w:rFonts w:asciiTheme="minorHAnsi" w:hAnsiTheme="minorHAnsi" w:cstheme="minorHAnsi"/>
        </w:rPr>
      </w:pPr>
      <w:r w:rsidRPr="00702C2E">
        <w:rPr>
          <w:rFonts w:asciiTheme="minorHAnsi" w:hAnsiTheme="minorHAnsi" w:cstheme="minorHAnsi"/>
        </w:rPr>
        <w:t xml:space="preserve">Biddle, Nicholas (2014). </w:t>
      </w:r>
      <w:r w:rsidRPr="00EF28B3">
        <w:rPr>
          <w:rFonts w:asciiTheme="minorHAnsi" w:hAnsiTheme="minorHAnsi" w:cstheme="minorHAnsi"/>
          <w:i/>
        </w:rPr>
        <w:t>Data about and for Aboriginal and Torres Strait Islander Australians: Issues paper no. 10 prepared for the Closing the Gap Clearinghouse</w:t>
      </w:r>
      <w:r w:rsidRPr="00702C2E">
        <w:rPr>
          <w:rFonts w:asciiTheme="minorHAnsi" w:hAnsiTheme="minorHAnsi" w:cstheme="minorHAnsi"/>
        </w:rPr>
        <w:t>. &lt;http://www.aihw.gov.au/closingthegap/&gt; accessed 21 September 2014</w:t>
      </w:r>
      <w:r>
        <w:rPr>
          <w:rFonts w:asciiTheme="minorHAnsi" w:hAnsiTheme="minorHAnsi" w:cstheme="minorHAnsi"/>
        </w:rPr>
        <w:t xml:space="preserve">. </w:t>
      </w:r>
      <w:bookmarkStart w:id="8" w:name="_ENREF_17"/>
    </w:p>
    <w:p w14:paraId="4666E4CF" w14:textId="77777777" w:rsidR="004B7260" w:rsidRPr="00EF28B3" w:rsidRDefault="00702C2E" w:rsidP="004B7260">
      <w:pPr>
        <w:pStyle w:val="EndNoteBibliography"/>
        <w:spacing w:before="60" w:after="0"/>
        <w:ind w:left="720" w:hanging="720"/>
        <w:rPr>
          <w:rFonts w:asciiTheme="minorHAnsi" w:hAnsiTheme="minorHAnsi" w:cstheme="minorHAnsi"/>
        </w:rPr>
      </w:pPr>
      <w:r w:rsidRPr="00702C2E">
        <w:rPr>
          <w:rFonts w:asciiTheme="minorHAnsi" w:hAnsiTheme="minorHAnsi" w:cstheme="minorHAnsi"/>
        </w:rPr>
        <w:t>Biddle, Nicholas and Timothy Cameron (2012).</w:t>
      </w:r>
      <w:r>
        <w:rPr>
          <w:rFonts w:asciiTheme="minorHAnsi" w:hAnsiTheme="minorHAnsi" w:cstheme="minorHAnsi"/>
        </w:rPr>
        <w:t xml:space="preserve"> </w:t>
      </w:r>
      <w:r w:rsidR="004B7260" w:rsidRPr="00EF28B3">
        <w:rPr>
          <w:rFonts w:asciiTheme="minorHAnsi" w:hAnsiTheme="minorHAnsi" w:cstheme="minorHAnsi"/>
          <w:i/>
        </w:rPr>
        <w:t>Potential factors influencing Indigenous education participation and achievement</w:t>
      </w:r>
      <w:r w:rsidR="004B7260" w:rsidRPr="00EF28B3">
        <w:rPr>
          <w:rFonts w:asciiTheme="minorHAnsi" w:hAnsiTheme="minorHAnsi" w:cstheme="minorHAnsi"/>
        </w:rPr>
        <w:t>. NCVER</w:t>
      </w:r>
      <w:r>
        <w:rPr>
          <w:rFonts w:asciiTheme="minorHAnsi" w:hAnsiTheme="minorHAnsi" w:cstheme="minorHAnsi"/>
        </w:rPr>
        <w:t xml:space="preserve">, </w:t>
      </w:r>
      <w:r w:rsidRPr="00B92110">
        <w:rPr>
          <w:rFonts w:asciiTheme="minorHAnsi" w:hAnsiTheme="minorHAnsi" w:cstheme="minorHAnsi"/>
        </w:rPr>
        <w:t>Adelaide</w:t>
      </w:r>
      <w:r w:rsidR="004B7260" w:rsidRPr="00EF28B3">
        <w:rPr>
          <w:rFonts w:asciiTheme="minorHAnsi" w:hAnsiTheme="minorHAnsi" w:cstheme="minorHAnsi"/>
        </w:rPr>
        <w:t>.</w:t>
      </w:r>
      <w:bookmarkEnd w:id="8"/>
    </w:p>
    <w:p w14:paraId="7464B249" w14:textId="1C3F9FDE" w:rsidR="004B7260" w:rsidRPr="00EF28B3" w:rsidRDefault="00702C2E" w:rsidP="004B7260">
      <w:pPr>
        <w:pStyle w:val="EndNoteBibliography"/>
        <w:spacing w:before="60" w:after="0"/>
        <w:ind w:left="720" w:hanging="720"/>
        <w:rPr>
          <w:rFonts w:asciiTheme="minorHAnsi" w:hAnsiTheme="minorHAnsi" w:cstheme="minorHAnsi"/>
        </w:rPr>
      </w:pPr>
      <w:r w:rsidRPr="00702C2E">
        <w:rPr>
          <w:rFonts w:asciiTheme="minorHAnsi" w:hAnsiTheme="minorHAnsi" w:cstheme="minorHAnsi"/>
        </w:rPr>
        <w:t>Biddle, Nicholas and Mandy Yap</w:t>
      </w:r>
      <w:r w:rsidR="004B7260" w:rsidRPr="00EF28B3">
        <w:rPr>
          <w:rFonts w:asciiTheme="minorHAnsi" w:hAnsiTheme="minorHAnsi" w:cstheme="minorHAnsi"/>
        </w:rPr>
        <w:t xml:space="preserve"> (2010). </w:t>
      </w:r>
      <w:r w:rsidR="004B7260" w:rsidRPr="00EF28B3">
        <w:rPr>
          <w:rFonts w:asciiTheme="minorHAnsi" w:hAnsiTheme="minorHAnsi" w:cstheme="minorHAnsi"/>
          <w:i/>
        </w:rPr>
        <w:t>Demographic and socioeconomic outcomes  across the Indigenous Australian lifecourse: Evidence from the 2006 census.</w:t>
      </w:r>
      <w:r w:rsidR="004B7260" w:rsidRPr="00EF28B3">
        <w:rPr>
          <w:rFonts w:asciiTheme="minorHAnsi" w:hAnsiTheme="minorHAnsi" w:cstheme="minorHAnsi"/>
        </w:rPr>
        <w:t xml:space="preserve"> </w:t>
      </w:r>
      <w:r>
        <w:rPr>
          <w:rFonts w:asciiTheme="minorHAnsi" w:hAnsiTheme="minorHAnsi" w:cstheme="minorHAnsi"/>
        </w:rPr>
        <w:t>&lt;</w:t>
      </w:r>
      <w:r w:rsidR="00EF28B3" w:rsidRPr="00EF28B3">
        <w:rPr>
          <w:rFonts w:asciiTheme="minorHAnsi" w:hAnsiTheme="minorHAnsi" w:cstheme="minorHAnsi"/>
        </w:rPr>
        <w:t>http://caepr.anu.edu.au/Publications/research-monographs/2010RM31.php</w:t>
      </w:r>
      <w:r w:rsidR="00EF28B3">
        <w:rPr>
          <w:rFonts w:asciiTheme="minorHAnsi" w:hAnsiTheme="minorHAnsi" w:cstheme="minorHAnsi"/>
        </w:rPr>
        <w:t>&gt; acces</w:t>
      </w:r>
      <w:r w:rsidR="00D46E86">
        <w:rPr>
          <w:rFonts w:asciiTheme="minorHAnsi" w:hAnsiTheme="minorHAnsi" w:cstheme="minorHAnsi"/>
        </w:rPr>
        <w:t>s</w:t>
      </w:r>
      <w:r w:rsidR="00EF28B3">
        <w:rPr>
          <w:rFonts w:asciiTheme="minorHAnsi" w:hAnsiTheme="minorHAnsi" w:cstheme="minorHAnsi"/>
        </w:rPr>
        <w:t>ed 23 February 2013.</w:t>
      </w:r>
    </w:p>
    <w:p w14:paraId="56189999" w14:textId="60626857" w:rsidR="00AF5921" w:rsidRDefault="00AF5921" w:rsidP="004B7260">
      <w:pPr>
        <w:pStyle w:val="EndNoteBibliography"/>
        <w:spacing w:before="60" w:after="0"/>
        <w:ind w:left="720" w:hanging="720"/>
        <w:rPr>
          <w:rFonts w:asciiTheme="minorHAnsi" w:eastAsiaTheme="minorHAnsi" w:hAnsiTheme="minorHAnsi" w:cstheme="minorHAnsi"/>
          <w:lang w:val="en-US" w:eastAsia="en-US"/>
        </w:rPr>
      </w:pPr>
      <w:r w:rsidRPr="003A548B">
        <w:lastRenderedPageBreak/>
        <w:t>Bodkin-Andrews, G</w:t>
      </w:r>
      <w:r>
        <w:rPr>
          <w:rFonts w:asciiTheme="minorHAnsi" w:eastAsiaTheme="minorHAnsi" w:hAnsiTheme="minorHAnsi" w:cstheme="minorHAnsi"/>
          <w:lang w:val="en-US" w:eastAsia="en-US"/>
        </w:rPr>
        <w:t>awain and Bronwyn Carlson</w:t>
      </w:r>
      <w:r w:rsidRPr="00AF5921">
        <w:rPr>
          <w:rFonts w:asciiTheme="minorHAnsi" w:eastAsiaTheme="minorHAnsi" w:hAnsiTheme="minorHAnsi" w:cstheme="minorHAnsi"/>
          <w:lang w:val="en-US" w:eastAsia="en-US"/>
        </w:rPr>
        <w:t xml:space="preserve"> </w:t>
      </w:r>
      <w:r>
        <w:rPr>
          <w:rFonts w:asciiTheme="minorHAnsi" w:eastAsiaTheme="minorHAnsi" w:hAnsiTheme="minorHAnsi" w:cstheme="minorHAnsi"/>
          <w:lang w:val="en-US" w:eastAsia="en-US"/>
        </w:rPr>
        <w:t>(2016).</w:t>
      </w:r>
      <w:r w:rsidRPr="00AF5921">
        <w:rPr>
          <w:rFonts w:asciiTheme="minorHAnsi" w:eastAsiaTheme="minorHAnsi" w:hAnsiTheme="minorHAnsi" w:cstheme="minorHAnsi"/>
          <w:lang w:val="en-US" w:eastAsia="en-US"/>
        </w:rPr>
        <w:t xml:space="preserve"> 'The legacy of racism and Indigenous Austra</w:t>
      </w:r>
      <w:r>
        <w:rPr>
          <w:rFonts w:asciiTheme="minorHAnsi" w:eastAsiaTheme="minorHAnsi" w:hAnsiTheme="minorHAnsi" w:cstheme="minorHAnsi"/>
          <w:lang w:val="en-US" w:eastAsia="en-US"/>
        </w:rPr>
        <w:t>lian identity within education'.</w:t>
      </w:r>
      <w:r w:rsidRPr="00AF5921">
        <w:rPr>
          <w:rFonts w:asciiTheme="minorHAnsi" w:eastAsiaTheme="minorHAnsi" w:hAnsiTheme="minorHAnsi" w:cstheme="minorHAnsi"/>
          <w:lang w:val="en-US" w:eastAsia="en-US"/>
        </w:rPr>
        <w:t xml:space="preserve"> </w:t>
      </w:r>
      <w:r w:rsidRPr="00AF5921">
        <w:rPr>
          <w:rFonts w:asciiTheme="minorHAnsi" w:eastAsiaTheme="minorHAnsi" w:hAnsiTheme="minorHAnsi" w:cstheme="minorHAnsi"/>
          <w:i/>
          <w:iCs/>
          <w:lang w:val="en-US" w:eastAsia="en-US"/>
        </w:rPr>
        <w:t>Race Ethnicity and Education</w:t>
      </w:r>
      <w:r>
        <w:rPr>
          <w:rFonts w:asciiTheme="minorHAnsi" w:eastAsiaTheme="minorHAnsi" w:hAnsiTheme="minorHAnsi" w:cstheme="minorHAnsi"/>
          <w:lang w:val="en-US" w:eastAsia="en-US"/>
        </w:rPr>
        <w:t xml:space="preserve"> 9(4)</w:t>
      </w:r>
      <w:r w:rsidR="002B08AB">
        <w:rPr>
          <w:rFonts w:asciiTheme="minorHAnsi" w:eastAsiaTheme="minorHAnsi" w:hAnsiTheme="minorHAnsi" w:cstheme="minorHAnsi"/>
          <w:lang w:val="en-US" w:eastAsia="en-US"/>
        </w:rPr>
        <w:t>:</w:t>
      </w:r>
      <w:r w:rsidRPr="00AF5921">
        <w:rPr>
          <w:rFonts w:asciiTheme="minorHAnsi" w:eastAsiaTheme="minorHAnsi" w:hAnsiTheme="minorHAnsi" w:cstheme="minorHAnsi"/>
          <w:lang w:val="en-US" w:eastAsia="en-US"/>
        </w:rPr>
        <w:t>784-807</w:t>
      </w:r>
    </w:p>
    <w:p w14:paraId="08C95ED3" w14:textId="77777777" w:rsidR="0086327E" w:rsidRDefault="00017E6E" w:rsidP="004B7260">
      <w:pPr>
        <w:pStyle w:val="EndNoteBibliography"/>
        <w:spacing w:before="60" w:after="0"/>
        <w:ind w:left="720" w:hanging="720"/>
        <w:rPr>
          <w:rFonts w:asciiTheme="minorHAnsi" w:hAnsiTheme="minorHAnsi" w:cstheme="minorHAnsi"/>
        </w:rPr>
      </w:pPr>
      <w:r w:rsidRPr="00017E6E">
        <w:rPr>
          <w:rFonts w:asciiTheme="minorHAnsi" w:eastAsiaTheme="minorHAnsi" w:hAnsiTheme="minorHAnsi" w:cstheme="minorHAnsi"/>
          <w:lang w:eastAsia="en-US"/>
        </w:rPr>
        <w:t xml:space="preserve">Bonaccorsi, Andrea, Cinzia Daraio, Benedetto Lepori and Stig Slipersæter (2007). 'Indicators on individual higher education institutions: Addressing data problems and comparability issues.' </w:t>
      </w:r>
      <w:r w:rsidRPr="00EF28B3">
        <w:rPr>
          <w:rFonts w:eastAsiaTheme="minorHAnsi" w:cstheme="minorHAnsi"/>
          <w:i/>
          <w:lang w:eastAsia="en-US"/>
        </w:rPr>
        <w:t>Research Evaluation</w:t>
      </w:r>
      <w:r w:rsidRPr="00017E6E">
        <w:rPr>
          <w:rFonts w:asciiTheme="minorHAnsi" w:eastAsiaTheme="minorHAnsi" w:hAnsiTheme="minorHAnsi" w:cstheme="minorHAnsi"/>
          <w:lang w:eastAsia="en-US"/>
        </w:rPr>
        <w:t xml:space="preserve"> 16(2): 66-78.</w:t>
      </w:r>
      <w:r w:rsidRPr="00D06834" w:rsidDel="00017E6E">
        <w:rPr>
          <w:rFonts w:asciiTheme="minorHAnsi" w:eastAsiaTheme="minorHAnsi" w:hAnsiTheme="minorHAnsi" w:cstheme="minorHAnsi"/>
          <w:lang w:eastAsia="en-US"/>
        </w:rPr>
        <w:t xml:space="preserve"> </w:t>
      </w:r>
      <w:bookmarkStart w:id="9" w:name="_ENREF_18"/>
      <w:r w:rsidR="0086327E" w:rsidRPr="0086327E">
        <w:rPr>
          <w:rFonts w:asciiTheme="minorHAnsi" w:hAnsiTheme="minorHAnsi" w:cstheme="minorHAnsi"/>
        </w:rPr>
        <w:t xml:space="preserve">Bradley, Denise, Peter Noonan, Helen Nugent and Bill Scales. (2008). </w:t>
      </w:r>
      <w:r w:rsidR="0086327E" w:rsidRPr="00EF28B3">
        <w:rPr>
          <w:rFonts w:asciiTheme="minorHAnsi" w:hAnsiTheme="minorHAnsi" w:cstheme="minorHAnsi"/>
          <w:i/>
        </w:rPr>
        <w:t>Review of Australian higher education: Final report [Bradley Review]</w:t>
      </w:r>
      <w:r w:rsidR="0086327E" w:rsidRPr="0086327E">
        <w:rPr>
          <w:rFonts w:asciiTheme="minorHAnsi" w:hAnsiTheme="minorHAnsi" w:cstheme="minorHAnsi"/>
        </w:rPr>
        <w:t>. &lt;http://hdl.voced.edu.au/10707/44384&gt; accessed 14 July 2015.</w:t>
      </w:r>
    </w:p>
    <w:p w14:paraId="304768C5" w14:textId="4FE4CC48" w:rsidR="004B7260" w:rsidRPr="00D46E86" w:rsidRDefault="00EF28B3" w:rsidP="004B7260">
      <w:pPr>
        <w:pStyle w:val="EndNoteBibliography"/>
        <w:spacing w:before="60" w:after="0"/>
        <w:ind w:left="720" w:hanging="720"/>
        <w:rPr>
          <w:rFonts w:asciiTheme="minorHAnsi" w:hAnsiTheme="minorHAnsi" w:cstheme="minorHAnsi"/>
        </w:rPr>
      </w:pPr>
      <w:r w:rsidRPr="00EF28B3">
        <w:rPr>
          <w:rFonts w:asciiTheme="minorHAnsi" w:hAnsiTheme="minorHAnsi" w:cstheme="minorHAnsi"/>
        </w:rPr>
        <w:t>Brent, Geoffrey and Alastair Rogers</w:t>
      </w:r>
      <w:r w:rsidR="004B7260" w:rsidRPr="00D46E86">
        <w:rPr>
          <w:rFonts w:asciiTheme="minorHAnsi" w:hAnsiTheme="minorHAnsi" w:cstheme="minorHAnsi"/>
        </w:rPr>
        <w:t xml:space="preserve"> (2008). </w:t>
      </w:r>
      <w:r w:rsidR="004B7260" w:rsidRPr="00D46E86">
        <w:rPr>
          <w:rFonts w:asciiTheme="minorHAnsi" w:hAnsiTheme="minorHAnsi" w:cstheme="minorHAnsi"/>
          <w:i/>
        </w:rPr>
        <w:t>Sample design issues for national surveys of the  Indigenous population</w:t>
      </w:r>
      <w:r w:rsidR="004B7260" w:rsidRPr="00D46E86">
        <w:rPr>
          <w:rFonts w:asciiTheme="minorHAnsi" w:hAnsiTheme="minorHAnsi" w:cstheme="minorHAnsi"/>
        </w:rPr>
        <w:t xml:space="preserve">. Australian Bureau of </w:t>
      </w:r>
      <w:r w:rsidR="00D46E86" w:rsidRPr="00D46E86">
        <w:rPr>
          <w:rFonts w:asciiTheme="minorHAnsi" w:hAnsiTheme="minorHAnsi" w:cstheme="minorHAnsi"/>
        </w:rPr>
        <w:t>Statistic</w:t>
      </w:r>
      <w:r w:rsidR="00D46E86">
        <w:rPr>
          <w:rFonts w:asciiTheme="minorHAnsi" w:hAnsiTheme="minorHAnsi" w:cstheme="minorHAnsi"/>
        </w:rPr>
        <w:t xml:space="preserve">s, </w:t>
      </w:r>
      <w:r w:rsidR="00D46E86" w:rsidRPr="00D46E86">
        <w:rPr>
          <w:rFonts w:asciiTheme="minorHAnsi" w:hAnsiTheme="minorHAnsi" w:cstheme="minorHAnsi"/>
        </w:rPr>
        <w:t>Canberra</w:t>
      </w:r>
      <w:r w:rsidR="004B7260" w:rsidRPr="00D46E86">
        <w:rPr>
          <w:rFonts w:asciiTheme="minorHAnsi" w:hAnsiTheme="minorHAnsi" w:cstheme="minorHAnsi"/>
        </w:rPr>
        <w:t>.</w:t>
      </w:r>
    </w:p>
    <w:p w14:paraId="3E8B162C" w14:textId="77777777" w:rsidR="004B7260" w:rsidRPr="00D46E86" w:rsidRDefault="00454F37" w:rsidP="004B7260">
      <w:pPr>
        <w:pStyle w:val="EndNoteBibliography"/>
        <w:spacing w:before="60" w:after="0"/>
        <w:ind w:left="720" w:hanging="720"/>
        <w:rPr>
          <w:rFonts w:asciiTheme="minorHAnsi" w:hAnsiTheme="minorHAnsi" w:cstheme="minorHAnsi"/>
        </w:rPr>
      </w:pPr>
      <w:r w:rsidRPr="00454F37">
        <w:rPr>
          <w:rFonts w:asciiTheme="minorHAnsi" w:hAnsiTheme="minorHAnsi" w:cstheme="minorHAnsi"/>
        </w:rPr>
        <w:lastRenderedPageBreak/>
        <w:t xml:space="preserve">Broadbent, Patricia (2004). '‘Lies, damned lies and statistics!’: Three fallacies of comparative methodology [Editorial].' </w:t>
      </w:r>
      <w:r w:rsidRPr="00D46E86">
        <w:rPr>
          <w:rFonts w:asciiTheme="minorHAnsi" w:hAnsiTheme="minorHAnsi" w:cstheme="minorHAnsi"/>
          <w:i/>
        </w:rPr>
        <w:t>Comparative Education</w:t>
      </w:r>
      <w:r w:rsidRPr="00454F37">
        <w:rPr>
          <w:rFonts w:asciiTheme="minorHAnsi" w:hAnsiTheme="minorHAnsi" w:cstheme="minorHAnsi"/>
        </w:rPr>
        <w:t xml:space="preserve"> 40(1): 3-6.</w:t>
      </w:r>
      <w:r w:rsidR="00EF28B3">
        <w:rPr>
          <w:rFonts w:asciiTheme="minorHAnsi" w:hAnsiTheme="minorHAnsi" w:cstheme="minorHAnsi"/>
        </w:rPr>
        <w:t>&lt;</w:t>
      </w:r>
      <w:r w:rsidR="004B7260" w:rsidRPr="00D46E86">
        <w:rPr>
          <w:rFonts w:asciiTheme="minorHAnsi" w:hAnsiTheme="minorHAnsi" w:cstheme="minorHAnsi"/>
        </w:rPr>
        <w:t>doi: 10.1080/0305006042000184845</w:t>
      </w:r>
      <w:bookmarkEnd w:id="9"/>
      <w:r w:rsidR="00EF28B3">
        <w:rPr>
          <w:rFonts w:asciiTheme="minorHAnsi" w:hAnsiTheme="minorHAnsi" w:cstheme="minorHAnsi"/>
        </w:rPr>
        <w:t>&gt; accessed</w:t>
      </w:r>
      <w:r w:rsidR="00D46E86">
        <w:rPr>
          <w:rFonts w:asciiTheme="minorHAnsi" w:hAnsiTheme="minorHAnsi" w:cstheme="minorHAnsi"/>
        </w:rPr>
        <w:t xml:space="preserve"> 14 March 2014.</w:t>
      </w:r>
      <w:r w:rsidR="00EF28B3">
        <w:rPr>
          <w:rFonts w:asciiTheme="minorHAnsi" w:hAnsiTheme="minorHAnsi" w:cstheme="minorHAnsi"/>
        </w:rPr>
        <w:t xml:space="preserve"> </w:t>
      </w:r>
    </w:p>
    <w:p w14:paraId="78DE7032" w14:textId="433B9B53" w:rsidR="004B7260" w:rsidRPr="00D46E86" w:rsidRDefault="004B7260" w:rsidP="004B7260">
      <w:pPr>
        <w:pStyle w:val="EndNoteBibliography"/>
        <w:spacing w:before="60" w:after="0"/>
        <w:ind w:left="720" w:hanging="720"/>
        <w:rPr>
          <w:rFonts w:asciiTheme="minorHAnsi" w:hAnsiTheme="minorHAnsi" w:cstheme="minorHAnsi"/>
        </w:rPr>
      </w:pPr>
      <w:bookmarkStart w:id="10" w:name="_ENREF_19"/>
      <w:r w:rsidRPr="00D46E86">
        <w:rPr>
          <w:rFonts w:asciiTheme="minorHAnsi" w:hAnsiTheme="minorHAnsi" w:cstheme="minorHAnsi"/>
        </w:rPr>
        <w:t xml:space="preserve">COAG Reform Council (2012). </w:t>
      </w:r>
      <w:r w:rsidRPr="00D46E86">
        <w:rPr>
          <w:rFonts w:asciiTheme="minorHAnsi" w:hAnsiTheme="minorHAnsi" w:cstheme="minorHAnsi"/>
          <w:i/>
        </w:rPr>
        <w:t>Indigenous Reform 2010-11: Comparing reform across Australia</w:t>
      </w:r>
      <w:r w:rsidRPr="00D46E86">
        <w:rPr>
          <w:rFonts w:asciiTheme="minorHAnsi" w:hAnsiTheme="minorHAnsi" w:cstheme="minorHAnsi"/>
        </w:rPr>
        <w:t xml:space="preserve">.  Sydney,  COAG Reform Council </w:t>
      </w:r>
      <w:bookmarkEnd w:id="10"/>
      <w:r w:rsidR="00D46E86">
        <w:rPr>
          <w:rFonts w:asciiTheme="minorHAnsi" w:hAnsiTheme="minorHAnsi" w:cstheme="minorHAnsi"/>
        </w:rPr>
        <w:t>&lt;</w:t>
      </w:r>
      <w:r w:rsidR="00D46E86" w:rsidRPr="00D46E86">
        <w:rPr>
          <w:rFonts w:asciiTheme="minorHAnsi" w:hAnsiTheme="minorHAnsi" w:cstheme="minorHAnsi"/>
        </w:rPr>
        <w:t>http://www.coagreformcouncil.gov.au/reports/indigenous-reform/indigenous-reform-2010-11-comparing-performance-across-australia</w:t>
      </w:r>
      <w:r w:rsidR="00D46E86">
        <w:rPr>
          <w:rFonts w:asciiTheme="minorHAnsi" w:hAnsiTheme="minorHAnsi" w:cstheme="minorHAnsi"/>
        </w:rPr>
        <w:t>&gt; accessed 25 February 2013.</w:t>
      </w:r>
    </w:p>
    <w:p w14:paraId="088322AE" w14:textId="60C28B34" w:rsidR="004B7260" w:rsidRPr="00D46E86" w:rsidRDefault="004B7260" w:rsidP="004B7260">
      <w:pPr>
        <w:pStyle w:val="EndNoteBibliography"/>
        <w:spacing w:before="60" w:after="0"/>
        <w:ind w:left="720" w:hanging="720"/>
        <w:rPr>
          <w:rFonts w:asciiTheme="minorHAnsi" w:hAnsiTheme="minorHAnsi" w:cstheme="minorHAnsi"/>
        </w:rPr>
      </w:pPr>
      <w:bookmarkStart w:id="11" w:name="_ENREF_21"/>
      <w:r w:rsidRPr="00D23B8F">
        <w:rPr>
          <w:rFonts w:asciiTheme="minorHAnsi" w:hAnsiTheme="minorHAnsi" w:cstheme="minorHAnsi"/>
        </w:rPr>
        <w:t xml:space="preserve">Coase, </w:t>
      </w:r>
      <w:r w:rsidRPr="00D46E86">
        <w:rPr>
          <w:rFonts w:asciiTheme="minorHAnsi" w:hAnsiTheme="minorHAnsi" w:cstheme="minorHAnsi"/>
        </w:rPr>
        <w:t>R</w:t>
      </w:r>
      <w:r w:rsidR="00D46E86">
        <w:rPr>
          <w:rFonts w:asciiTheme="minorHAnsi" w:hAnsiTheme="minorHAnsi" w:cstheme="minorHAnsi"/>
        </w:rPr>
        <w:t>onald</w:t>
      </w:r>
      <w:r w:rsidRPr="00D46E86">
        <w:rPr>
          <w:rFonts w:asciiTheme="minorHAnsi" w:hAnsiTheme="minorHAnsi" w:cstheme="minorHAnsi"/>
        </w:rPr>
        <w:t xml:space="preserve"> (1981). </w:t>
      </w:r>
      <w:r w:rsidRPr="00D46E86">
        <w:rPr>
          <w:rFonts w:asciiTheme="minorHAnsi" w:hAnsiTheme="minorHAnsi" w:cstheme="minorHAnsi"/>
          <w:i/>
        </w:rPr>
        <w:t>How should economists choose</w:t>
      </w:r>
      <w:r w:rsidRPr="00D46E86">
        <w:rPr>
          <w:rFonts w:asciiTheme="minorHAnsi" w:hAnsiTheme="minorHAnsi" w:cstheme="minorHAnsi"/>
        </w:rPr>
        <w:t>? American Enterprise Institute for Public Policy Research</w:t>
      </w:r>
      <w:r w:rsidR="00D46E86">
        <w:rPr>
          <w:rFonts w:asciiTheme="minorHAnsi" w:hAnsiTheme="minorHAnsi" w:cstheme="minorHAnsi"/>
        </w:rPr>
        <w:t xml:space="preserve">, </w:t>
      </w:r>
      <w:r w:rsidR="00D46E86" w:rsidRPr="00B92110">
        <w:rPr>
          <w:rFonts w:asciiTheme="minorHAnsi" w:hAnsiTheme="minorHAnsi" w:cstheme="minorHAnsi"/>
        </w:rPr>
        <w:t>Washington</w:t>
      </w:r>
      <w:r w:rsidRPr="00D46E86">
        <w:rPr>
          <w:rFonts w:asciiTheme="minorHAnsi" w:hAnsiTheme="minorHAnsi" w:cstheme="minorHAnsi"/>
        </w:rPr>
        <w:t>.</w:t>
      </w:r>
    </w:p>
    <w:p w14:paraId="29D63212" w14:textId="3A49CAC4" w:rsidR="004B7260" w:rsidRPr="00D23B8F" w:rsidRDefault="004B7260" w:rsidP="004B7260">
      <w:pPr>
        <w:pStyle w:val="EndNoteBibliography"/>
        <w:spacing w:before="60" w:after="0"/>
        <w:ind w:left="720" w:hanging="720"/>
        <w:rPr>
          <w:rFonts w:asciiTheme="minorHAnsi" w:hAnsiTheme="minorHAnsi" w:cstheme="minorHAnsi"/>
        </w:rPr>
      </w:pPr>
      <w:bookmarkStart w:id="12" w:name="_ENREF_22"/>
      <w:bookmarkEnd w:id="11"/>
      <w:r w:rsidRPr="00D23B8F">
        <w:rPr>
          <w:rFonts w:asciiTheme="minorHAnsi" w:hAnsiTheme="minorHAnsi" w:cstheme="minorHAnsi"/>
        </w:rPr>
        <w:t xml:space="preserve">Cross, M. A. K. D. (2013). Rethinking epistemic communities twenty years later. </w:t>
      </w:r>
      <w:r w:rsidRPr="00D23B8F">
        <w:rPr>
          <w:rFonts w:asciiTheme="minorHAnsi" w:hAnsiTheme="minorHAnsi" w:cstheme="minorHAnsi"/>
          <w:i/>
        </w:rPr>
        <w:t xml:space="preserve">Review of International Studies, </w:t>
      </w:r>
      <w:r w:rsidRPr="003A548B">
        <w:rPr>
          <w:rFonts w:asciiTheme="minorHAnsi" w:hAnsiTheme="minorHAnsi" w:cstheme="minorHAnsi"/>
        </w:rPr>
        <w:lastRenderedPageBreak/>
        <w:t>39</w:t>
      </w:r>
      <w:r w:rsidRPr="00D23B8F">
        <w:rPr>
          <w:rFonts w:asciiTheme="minorHAnsi" w:hAnsiTheme="minorHAnsi" w:cstheme="minorHAnsi"/>
        </w:rPr>
        <w:t>(1)</w:t>
      </w:r>
      <w:r w:rsidR="002B08AB">
        <w:rPr>
          <w:rFonts w:asciiTheme="minorHAnsi" w:hAnsiTheme="minorHAnsi" w:cstheme="minorHAnsi"/>
        </w:rPr>
        <w:t>:</w:t>
      </w:r>
      <w:r w:rsidRPr="00D23B8F">
        <w:rPr>
          <w:rFonts w:asciiTheme="minorHAnsi" w:hAnsiTheme="minorHAnsi" w:cstheme="minorHAnsi"/>
        </w:rPr>
        <w:t>137-160. doi: http://dx.doi.org/10.1017/S0260210512000034</w:t>
      </w:r>
      <w:bookmarkEnd w:id="12"/>
    </w:p>
    <w:p w14:paraId="194BB39C" w14:textId="77777777" w:rsidR="00D46E86" w:rsidRDefault="00E17EA8" w:rsidP="004B7260">
      <w:pPr>
        <w:pStyle w:val="EndNoteBibliography"/>
        <w:spacing w:before="60" w:after="0"/>
        <w:ind w:left="720" w:hanging="720"/>
        <w:rPr>
          <w:rFonts w:asciiTheme="minorHAnsi" w:eastAsiaTheme="minorHAnsi" w:hAnsiTheme="minorHAnsi" w:cstheme="minorHAnsi"/>
          <w:lang w:eastAsia="en-US"/>
        </w:rPr>
      </w:pPr>
      <w:r w:rsidRPr="00E17EA8">
        <w:rPr>
          <w:rFonts w:asciiTheme="minorHAnsi" w:eastAsiaTheme="minorHAnsi" w:hAnsiTheme="minorHAnsi" w:cstheme="minorHAnsi"/>
          <w:lang w:eastAsia="en-US"/>
        </w:rPr>
        <w:t xml:space="preserve">Deacon, R., R. Osman and M. Buchler (2009). </w:t>
      </w:r>
      <w:r w:rsidRPr="00D46E86">
        <w:rPr>
          <w:rFonts w:eastAsiaTheme="minorHAnsi" w:cstheme="minorHAnsi"/>
          <w:i/>
          <w:lang w:eastAsia="en-US"/>
        </w:rPr>
        <w:t xml:space="preserve">Audit and interpretative analysis of education research in South Africa: What have we learnt? </w:t>
      </w:r>
      <w:r w:rsidRPr="00E17EA8">
        <w:rPr>
          <w:rFonts w:asciiTheme="minorHAnsi" w:eastAsiaTheme="minorHAnsi" w:hAnsiTheme="minorHAnsi" w:cstheme="minorHAnsi"/>
          <w:lang w:eastAsia="en-US"/>
        </w:rPr>
        <w:t>Centre for Education Policy Development</w:t>
      </w:r>
      <w:r>
        <w:rPr>
          <w:rFonts w:asciiTheme="minorHAnsi" w:eastAsiaTheme="minorHAnsi" w:hAnsiTheme="minorHAnsi" w:cstheme="minorHAnsi"/>
          <w:lang w:eastAsia="en-US"/>
        </w:rPr>
        <w:t>, Johannesburg</w:t>
      </w:r>
      <w:r w:rsidRPr="00E17EA8">
        <w:rPr>
          <w:rFonts w:asciiTheme="minorHAnsi" w:eastAsiaTheme="minorHAnsi" w:hAnsiTheme="minorHAnsi" w:cstheme="minorHAnsi"/>
          <w:lang w:eastAsia="en-US"/>
        </w:rPr>
        <w:t>.</w:t>
      </w:r>
      <w:r w:rsidRPr="00D06834" w:rsidDel="00E17EA8">
        <w:rPr>
          <w:rFonts w:asciiTheme="minorHAnsi" w:eastAsiaTheme="minorHAnsi" w:hAnsiTheme="minorHAnsi" w:cstheme="minorHAnsi"/>
          <w:lang w:eastAsia="en-US"/>
        </w:rPr>
        <w:t xml:space="preserve"> </w:t>
      </w:r>
    </w:p>
    <w:p w14:paraId="08361DB3" w14:textId="3BF49007" w:rsidR="004B7260" w:rsidRPr="00D46E86" w:rsidRDefault="004B7260" w:rsidP="004B7260">
      <w:pPr>
        <w:pStyle w:val="EndNoteBibliography"/>
        <w:spacing w:before="60" w:after="0"/>
        <w:ind w:left="720" w:hanging="720"/>
        <w:rPr>
          <w:rFonts w:asciiTheme="minorHAnsi" w:hAnsiTheme="minorHAnsi" w:cstheme="minorHAnsi"/>
        </w:rPr>
      </w:pPr>
      <w:r w:rsidRPr="00D46E86">
        <w:rPr>
          <w:rFonts w:asciiTheme="minorHAnsi" w:hAnsiTheme="minorHAnsi" w:cstheme="minorHAnsi"/>
        </w:rPr>
        <w:t>DeMaria, A</w:t>
      </w:r>
      <w:r w:rsidR="00D46E86">
        <w:rPr>
          <w:rFonts w:asciiTheme="minorHAnsi" w:hAnsiTheme="minorHAnsi" w:cstheme="minorHAnsi"/>
        </w:rPr>
        <w:t>nthony</w:t>
      </w:r>
      <w:r w:rsidRPr="00D46E86">
        <w:rPr>
          <w:rFonts w:asciiTheme="minorHAnsi" w:hAnsiTheme="minorHAnsi" w:cstheme="minorHAnsi"/>
        </w:rPr>
        <w:t xml:space="preserve">. N. (2008). </w:t>
      </w:r>
      <w:r w:rsidR="00D46E86">
        <w:rPr>
          <w:rFonts w:asciiTheme="minorHAnsi" w:hAnsiTheme="minorHAnsi" w:cstheme="minorHAnsi"/>
        </w:rPr>
        <w:t>‘</w:t>
      </w:r>
      <w:r w:rsidRPr="00D46E86">
        <w:rPr>
          <w:rFonts w:asciiTheme="minorHAnsi" w:hAnsiTheme="minorHAnsi" w:cstheme="minorHAnsi"/>
        </w:rPr>
        <w:t>Lies, damned lies, and statistics.</w:t>
      </w:r>
      <w:r w:rsidR="00D46E86">
        <w:rPr>
          <w:rFonts w:asciiTheme="minorHAnsi" w:hAnsiTheme="minorHAnsi" w:cstheme="minorHAnsi"/>
        </w:rPr>
        <w:t>’</w:t>
      </w:r>
      <w:r w:rsidRPr="00D46E86">
        <w:rPr>
          <w:rFonts w:asciiTheme="minorHAnsi" w:hAnsiTheme="minorHAnsi" w:cstheme="minorHAnsi"/>
        </w:rPr>
        <w:t xml:space="preserve"> </w:t>
      </w:r>
      <w:r w:rsidRPr="00D46E86">
        <w:rPr>
          <w:rFonts w:asciiTheme="minorHAnsi" w:hAnsiTheme="minorHAnsi" w:cstheme="minorHAnsi"/>
          <w:i/>
        </w:rPr>
        <w:t>Journal of the American College of Cardiology</w:t>
      </w:r>
      <w:r w:rsidRPr="00D46E86">
        <w:rPr>
          <w:rFonts w:asciiTheme="minorHAnsi" w:hAnsiTheme="minorHAnsi" w:cstheme="minorHAnsi"/>
        </w:rPr>
        <w:t>, 52(17)</w:t>
      </w:r>
      <w:r w:rsidR="002B08AB">
        <w:rPr>
          <w:rFonts w:asciiTheme="minorHAnsi" w:hAnsiTheme="minorHAnsi" w:cstheme="minorHAnsi"/>
        </w:rPr>
        <w:t>:</w:t>
      </w:r>
      <w:r w:rsidRPr="00D46E86">
        <w:rPr>
          <w:rFonts w:asciiTheme="minorHAnsi" w:hAnsiTheme="minorHAnsi" w:cstheme="minorHAnsi"/>
        </w:rPr>
        <w:t xml:space="preserve">1430-1431 </w:t>
      </w:r>
      <w:r w:rsidR="00D46E86">
        <w:rPr>
          <w:rFonts w:asciiTheme="minorHAnsi" w:hAnsiTheme="minorHAnsi" w:cstheme="minorHAnsi"/>
        </w:rPr>
        <w:t>&lt;</w:t>
      </w:r>
      <w:r w:rsidRPr="00D46E86">
        <w:rPr>
          <w:rFonts w:asciiTheme="minorHAnsi" w:hAnsiTheme="minorHAnsi" w:cstheme="minorHAnsi"/>
        </w:rPr>
        <w:t>doi:http://dx.doi.org/10.1016/j.jacc.2008.09.013</w:t>
      </w:r>
      <w:r w:rsidR="00D46E86">
        <w:rPr>
          <w:rFonts w:asciiTheme="minorHAnsi" w:hAnsiTheme="minorHAnsi" w:cstheme="minorHAnsi"/>
        </w:rPr>
        <w:t>&gt; accessed 21 March 2014.</w:t>
      </w:r>
    </w:p>
    <w:p w14:paraId="267E3AC4" w14:textId="15E69C2C" w:rsidR="00970008" w:rsidRDefault="004B7260" w:rsidP="004B7260">
      <w:pPr>
        <w:pStyle w:val="EndNoteBibliography"/>
        <w:spacing w:before="60" w:after="0"/>
        <w:ind w:left="720" w:hanging="720"/>
        <w:rPr>
          <w:rFonts w:asciiTheme="minorHAnsi" w:hAnsiTheme="minorHAnsi" w:cstheme="minorHAnsi"/>
        </w:rPr>
      </w:pPr>
      <w:r w:rsidRPr="00D46E86">
        <w:rPr>
          <w:rFonts w:asciiTheme="minorHAnsi" w:hAnsiTheme="minorHAnsi" w:cstheme="minorHAnsi"/>
        </w:rPr>
        <w:t>Department of Education (2013).</w:t>
      </w:r>
      <w:r w:rsidRPr="00D46E86">
        <w:rPr>
          <w:rFonts w:asciiTheme="minorHAnsi" w:hAnsiTheme="minorHAnsi" w:cstheme="minorHAnsi"/>
          <w:i/>
        </w:rPr>
        <w:t xml:space="preserve"> Government response to the review of reporting requirements for universities.</w:t>
      </w:r>
      <w:r w:rsidRPr="00D46E86">
        <w:rPr>
          <w:rFonts w:asciiTheme="minorHAnsi" w:hAnsiTheme="minorHAnsi" w:cstheme="minorHAnsi"/>
        </w:rPr>
        <w:t xml:space="preserve"> </w:t>
      </w:r>
      <w:r w:rsidR="00D46E86">
        <w:rPr>
          <w:rFonts w:asciiTheme="minorHAnsi" w:hAnsiTheme="minorHAnsi" w:cstheme="minorHAnsi"/>
        </w:rPr>
        <w:t>&lt;</w:t>
      </w:r>
      <w:r w:rsidR="00D46E86" w:rsidRPr="00D46E86">
        <w:rPr>
          <w:rFonts w:asciiTheme="minorHAnsi" w:hAnsiTheme="minorHAnsi" w:cstheme="minorHAnsi"/>
        </w:rPr>
        <w:t>https://www.education.gov.au/government-response-review-reporting-requirements-universities</w:t>
      </w:r>
      <w:r w:rsidR="00D46E86">
        <w:rPr>
          <w:rFonts w:asciiTheme="minorHAnsi" w:hAnsiTheme="minorHAnsi" w:cstheme="minorHAnsi"/>
        </w:rPr>
        <w:t xml:space="preserve">&gt; accessed 30 August 2014. </w:t>
      </w:r>
    </w:p>
    <w:p w14:paraId="1F1E0E15" w14:textId="7E4AAB77" w:rsidR="004B7260" w:rsidRPr="00D46E86" w:rsidRDefault="00970008" w:rsidP="00970008">
      <w:pPr>
        <w:pStyle w:val="EndNoteBibliography"/>
        <w:spacing w:before="60" w:after="0"/>
        <w:ind w:left="720" w:hanging="720"/>
        <w:rPr>
          <w:rFonts w:asciiTheme="minorHAnsi" w:hAnsiTheme="minorHAnsi" w:cstheme="minorHAnsi"/>
        </w:rPr>
      </w:pPr>
      <w:r>
        <w:rPr>
          <w:rFonts w:asciiTheme="minorHAnsi" w:hAnsiTheme="minorHAnsi" w:cstheme="minorHAnsi"/>
        </w:rPr>
        <w:lastRenderedPageBreak/>
        <w:t xml:space="preserve">Departmetn of Education and Training (2016). </w:t>
      </w:r>
      <w:r w:rsidRPr="007D3155">
        <w:rPr>
          <w:rFonts w:asciiTheme="minorHAnsi" w:hAnsiTheme="minorHAnsi" w:cstheme="minorHAnsi"/>
          <w:i/>
        </w:rPr>
        <w:t>Higher Education Data Committee</w:t>
      </w:r>
      <w:r w:rsidR="004D2AC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br/>
        <w:t>&lt;</w:t>
      </w:r>
      <w:r w:rsidRPr="00970008">
        <w:t xml:space="preserve"> </w:t>
      </w:r>
      <w:r w:rsidRPr="00970008">
        <w:rPr>
          <w:rFonts w:asciiTheme="minorHAnsi" w:hAnsiTheme="minorHAnsi" w:cstheme="minorHAnsi"/>
        </w:rPr>
        <w:t>http://www.education.gov.au/higher-education-data-committee-0</w:t>
      </w:r>
      <w:r>
        <w:rPr>
          <w:rFonts w:asciiTheme="minorHAnsi" w:hAnsiTheme="minorHAnsi" w:cstheme="minorHAnsi"/>
        </w:rPr>
        <w:t>&gt;</w:t>
      </w:r>
      <w:r w:rsidR="00D46E86">
        <w:rPr>
          <w:rFonts w:asciiTheme="minorHAnsi" w:hAnsiTheme="minorHAnsi" w:cstheme="minorHAnsi"/>
        </w:rPr>
        <w:t xml:space="preserve"> </w:t>
      </w:r>
      <w:r>
        <w:rPr>
          <w:rFonts w:asciiTheme="minorHAnsi" w:hAnsiTheme="minorHAnsi" w:cstheme="minorHAnsi"/>
        </w:rPr>
        <w:t xml:space="preserve"> accessed 2 August 2016.</w:t>
      </w:r>
    </w:p>
    <w:p w14:paraId="5F0EFBFE" w14:textId="77777777" w:rsidR="00D46E86" w:rsidRDefault="00FE683E" w:rsidP="004B7260">
      <w:pPr>
        <w:pStyle w:val="EndNoteBibliography"/>
        <w:spacing w:before="60" w:after="0"/>
        <w:ind w:left="720" w:hanging="720"/>
        <w:rPr>
          <w:rFonts w:asciiTheme="minorHAnsi" w:hAnsiTheme="minorHAnsi" w:cstheme="minorHAnsi"/>
        </w:rPr>
      </w:pPr>
      <w:bookmarkStart w:id="13" w:name="_ENREF_24"/>
      <w:r w:rsidRPr="00FE683E">
        <w:rPr>
          <w:rFonts w:asciiTheme="minorHAnsi" w:hAnsiTheme="minorHAnsi" w:cstheme="minorHAnsi"/>
        </w:rPr>
        <w:t>Devlin, Marcia (2009). 'Indigenous higher education student e</w:t>
      </w:r>
      <w:r>
        <w:rPr>
          <w:rFonts w:asciiTheme="minorHAnsi" w:hAnsiTheme="minorHAnsi" w:cstheme="minorHAnsi"/>
        </w:rPr>
        <w:t>quity: focusing on what works.</w:t>
      </w:r>
      <w:r w:rsidRPr="00FE683E">
        <w:rPr>
          <w:rFonts w:asciiTheme="minorHAnsi" w:hAnsiTheme="minorHAnsi" w:cstheme="minorHAnsi"/>
        </w:rPr>
        <w:t xml:space="preserve">' </w:t>
      </w:r>
      <w:r w:rsidRPr="00D46E86">
        <w:rPr>
          <w:rFonts w:cstheme="minorHAnsi"/>
          <w:i/>
        </w:rPr>
        <w:t>Australian Journal of Indigenous Education</w:t>
      </w:r>
      <w:r w:rsidRPr="00FE683E">
        <w:rPr>
          <w:rFonts w:asciiTheme="minorHAnsi" w:hAnsiTheme="minorHAnsi" w:cstheme="minorHAnsi"/>
        </w:rPr>
        <w:t xml:space="preserve"> 38: 1-8.</w:t>
      </w:r>
      <w:bookmarkStart w:id="14" w:name="_ENREF_25"/>
      <w:bookmarkEnd w:id="13"/>
    </w:p>
    <w:p w14:paraId="5CE61A3C" w14:textId="77777777" w:rsidR="004B7260" w:rsidRPr="00D46E86" w:rsidRDefault="00D46E86" w:rsidP="004B7260">
      <w:pPr>
        <w:pStyle w:val="EndNoteBibliography"/>
        <w:spacing w:before="60" w:after="0"/>
        <w:ind w:left="720" w:hanging="720"/>
        <w:rPr>
          <w:rFonts w:asciiTheme="minorHAnsi" w:hAnsiTheme="minorHAnsi" w:cstheme="minorHAnsi"/>
        </w:rPr>
      </w:pPr>
      <w:r w:rsidRPr="00D46E86">
        <w:rPr>
          <w:rFonts w:asciiTheme="minorHAnsi" w:hAnsiTheme="minorHAnsi" w:cstheme="minorHAnsi"/>
        </w:rPr>
        <w:t xml:space="preserve">Doyle, Tanya and Sarah Prout </w:t>
      </w:r>
      <w:r w:rsidR="004B7260" w:rsidRPr="00D46E86">
        <w:rPr>
          <w:rFonts w:asciiTheme="minorHAnsi" w:hAnsiTheme="minorHAnsi" w:cstheme="minorHAnsi"/>
        </w:rPr>
        <w:t xml:space="preserve">(2012). </w:t>
      </w:r>
      <w:r>
        <w:rPr>
          <w:rFonts w:asciiTheme="minorHAnsi" w:hAnsiTheme="minorHAnsi" w:cstheme="minorHAnsi"/>
        </w:rPr>
        <w:t>‘</w:t>
      </w:r>
      <w:r w:rsidR="004B7260" w:rsidRPr="00D46E86">
        <w:rPr>
          <w:rFonts w:asciiTheme="minorHAnsi" w:hAnsiTheme="minorHAnsi" w:cstheme="minorHAnsi"/>
        </w:rPr>
        <w:t>Indigenous student mobility, performance and achievement: Issues of positioning and traceability.</w:t>
      </w:r>
      <w:r>
        <w:rPr>
          <w:rFonts w:asciiTheme="minorHAnsi" w:hAnsiTheme="minorHAnsi" w:cstheme="minorHAnsi"/>
        </w:rPr>
        <w:t>’</w:t>
      </w:r>
      <w:r w:rsidR="004B7260" w:rsidRPr="00D46E86">
        <w:rPr>
          <w:rFonts w:asciiTheme="minorHAnsi" w:hAnsiTheme="minorHAnsi" w:cstheme="minorHAnsi"/>
        </w:rPr>
        <w:t xml:space="preserve"> </w:t>
      </w:r>
      <w:r w:rsidR="004B7260" w:rsidRPr="00D46E86">
        <w:rPr>
          <w:rFonts w:asciiTheme="minorHAnsi" w:hAnsiTheme="minorHAnsi" w:cstheme="minorHAnsi"/>
          <w:i/>
        </w:rPr>
        <w:t xml:space="preserve">International Journal of Educational Research, </w:t>
      </w:r>
      <w:r w:rsidR="004B7260" w:rsidRPr="00D46E86">
        <w:rPr>
          <w:rFonts w:asciiTheme="minorHAnsi" w:hAnsiTheme="minorHAnsi" w:cstheme="minorHAnsi"/>
        </w:rPr>
        <w:t xml:space="preserve">54, 41-49. </w:t>
      </w:r>
      <w:r>
        <w:rPr>
          <w:rFonts w:asciiTheme="minorHAnsi" w:hAnsiTheme="minorHAnsi" w:cstheme="minorHAnsi"/>
        </w:rPr>
        <w:t>&lt;</w:t>
      </w:r>
      <w:r w:rsidR="004B7260" w:rsidRPr="00D46E86">
        <w:rPr>
          <w:rFonts w:asciiTheme="minorHAnsi" w:hAnsiTheme="minorHAnsi" w:cstheme="minorHAnsi"/>
        </w:rPr>
        <w:t>doi: 10.1016/j.ijer.2011.12.002</w:t>
      </w:r>
      <w:bookmarkEnd w:id="14"/>
      <w:r>
        <w:rPr>
          <w:rFonts w:asciiTheme="minorHAnsi" w:hAnsiTheme="minorHAnsi" w:cstheme="minorHAnsi"/>
        </w:rPr>
        <w:t>&gt; accessed 24 June 2013.</w:t>
      </w:r>
    </w:p>
    <w:p w14:paraId="02895D45" w14:textId="77777777" w:rsidR="004B7260" w:rsidRPr="00D46E86" w:rsidRDefault="00D46E86" w:rsidP="004B7260">
      <w:pPr>
        <w:pStyle w:val="EndNoteBibliography"/>
        <w:spacing w:before="60" w:after="0"/>
        <w:ind w:left="720" w:hanging="720"/>
        <w:rPr>
          <w:rFonts w:asciiTheme="minorHAnsi" w:eastAsiaTheme="minorHAnsi" w:hAnsiTheme="minorHAnsi" w:cstheme="minorHAnsi"/>
          <w:lang w:eastAsia="en-US"/>
        </w:rPr>
      </w:pPr>
      <w:bookmarkStart w:id="15" w:name="_ENREF_26"/>
      <w:r w:rsidRPr="00D46E86">
        <w:rPr>
          <w:rFonts w:asciiTheme="minorHAnsi" w:eastAsiaTheme="minorHAnsi" w:hAnsiTheme="minorHAnsi" w:cstheme="minorHAnsi"/>
          <w:lang w:eastAsia="en-US"/>
        </w:rPr>
        <w:t xml:space="preserve">Drew, Neil, Yolanda Adams and Roz Walker (2010). Issues in mental health assessment with Indigenous Australians. </w:t>
      </w:r>
      <w:r w:rsidRPr="00D23B8F">
        <w:rPr>
          <w:rFonts w:asciiTheme="minorHAnsi" w:eastAsiaTheme="minorHAnsi" w:hAnsiTheme="minorHAnsi" w:cstheme="minorHAnsi"/>
          <w:i/>
          <w:lang w:eastAsia="en-US"/>
        </w:rPr>
        <w:t>Working together: Aboriginal and Torres Strait Islander mental health and wellbeing principles and practice</w:t>
      </w:r>
      <w:r w:rsidRPr="00D46E86">
        <w:rPr>
          <w:rFonts w:asciiTheme="minorHAnsi" w:eastAsiaTheme="minorHAnsi" w:hAnsiTheme="minorHAnsi" w:cstheme="minorHAnsi"/>
          <w:lang w:eastAsia="en-US"/>
        </w:rPr>
        <w:t xml:space="preserve">. N. </w:t>
      </w:r>
      <w:r w:rsidRPr="00D46E86">
        <w:rPr>
          <w:rFonts w:asciiTheme="minorHAnsi" w:eastAsiaTheme="minorHAnsi" w:hAnsiTheme="minorHAnsi" w:cstheme="minorHAnsi"/>
          <w:lang w:eastAsia="en-US"/>
        </w:rPr>
        <w:lastRenderedPageBreak/>
        <w:t>Purdie, P. Dudgeon and R. Walker Department of Health and Ageing, Canberra</w:t>
      </w:r>
      <w:r w:rsidR="004B7260" w:rsidRPr="00D46E86">
        <w:rPr>
          <w:rFonts w:asciiTheme="minorHAnsi" w:eastAsiaTheme="minorHAnsi" w:hAnsiTheme="minorHAnsi" w:cstheme="minorHAnsi"/>
          <w:lang w:eastAsia="en-US"/>
        </w:rPr>
        <w:t>.</w:t>
      </w:r>
    </w:p>
    <w:p w14:paraId="6ACBE200" w14:textId="4B02095E" w:rsidR="004B7260" w:rsidRPr="00562506" w:rsidRDefault="004B7260" w:rsidP="004B7260">
      <w:pPr>
        <w:pStyle w:val="EndNoteBibliography"/>
        <w:spacing w:before="60" w:after="0"/>
        <w:ind w:left="720" w:hanging="720"/>
        <w:rPr>
          <w:rFonts w:asciiTheme="minorHAnsi" w:hAnsiTheme="minorHAnsi" w:cstheme="minorHAnsi"/>
        </w:rPr>
      </w:pPr>
      <w:bookmarkStart w:id="16" w:name="_ENREF_27"/>
      <w:bookmarkEnd w:id="15"/>
      <w:r w:rsidRPr="00562506">
        <w:rPr>
          <w:rFonts w:asciiTheme="minorHAnsi" w:hAnsiTheme="minorHAnsi" w:cstheme="minorHAnsi"/>
        </w:rPr>
        <w:t>Gal, I</w:t>
      </w:r>
      <w:r w:rsidR="00562506">
        <w:rPr>
          <w:rFonts w:asciiTheme="minorHAnsi" w:hAnsiTheme="minorHAnsi" w:cstheme="minorHAnsi"/>
        </w:rPr>
        <w:t>ddo</w:t>
      </w:r>
      <w:r w:rsidRPr="00562506">
        <w:rPr>
          <w:rFonts w:asciiTheme="minorHAnsi" w:hAnsiTheme="minorHAnsi" w:cstheme="minorHAnsi"/>
        </w:rPr>
        <w:t xml:space="preserve"> (2002). </w:t>
      </w:r>
      <w:r w:rsidR="00562506">
        <w:rPr>
          <w:rFonts w:asciiTheme="minorHAnsi" w:hAnsiTheme="minorHAnsi" w:cstheme="minorHAnsi"/>
        </w:rPr>
        <w:t>‘</w:t>
      </w:r>
      <w:r w:rsidRPr="00562506">
        <w:rPr>
          <w:rFonts w:asciiTheme="minorHAnsi" w:hAnsiTheme="minorHAnsi" w:cstheme="minorHAnsi"/>
        </w:rPr>
        <w:t>Adults' statistical literacy: Meanings, components, responsibilities.</w:t>
      </w:r>
      <w:r w:rsidR="00562506">
        <w:rPr>
          <w:rFonts w:asciiTheme="minorHAnsi" w:hAnsiTheme="minorHAnsi" w:cstheme="minorHAnsi"/>
        </w:rPr>
        <w:t>’</w:t>
      </w:r>
      <w:r w:rsidRPr="00562506">
        <w:rPr>
          <w:rFonts w:asciiTheme="minorHAnsi" w:hAnsiTheme="minorHAnsi" w:cstheme="minorHAnsi"/>
        </w:rPr>
        <w:t xml:space="preserve"> </w:t>
      </w:r>
      <w:r w:rsidRPr="00562506">
        <w:rPr>
          <w:rFonts w:asciiTheme="minorHAnsi" w:hAnsiTheme="minorHAnsi" w:cstheme="minorHAnsi"/>
          <w:i/>
        </w:rPr>
        <w:t>International Statistical Review</w:t>
      </w:r>
      <w:r w:rsidRPr="00562506">
        <w:rPr>
          <w:rFonts w:asciiTheme="minorHAnsi" w:hAnsiTheme="minorHAnsi" w:cstheme="minorHAnsi"/>
        </w:rPr>
        <w:t>, 70(1)</w:t>
      </w:r>
      <w:r w:rsidR="007D64D2">
        <w:rPr>
          <w:rFonts w:asciiTheme="minorHAnsi" w:hAnsiTheme="minorHAnsi" w:cstheme="minorHAnsi"/>
        </w:rPr>
        <w:t>:</w:t>
      </w:r>
      <w:r w:rsidRPr="00562506">
        <w:rPr>
          <w:rFonts w:asciiTheme="minorHAnsi" w:hAnsiTheme="minorHAnsi" w:cstheme="minorHAnsi"/>
        </w:rPr>
        <w:t>1-25.</w:t>
      </w:r>
      <w:r w:rsidR="00562506">
        <w:rPr>
          <w:rFonts w:asciiTheme="minorHAnsi" w:hAnsiTheme="minorHAnsi" w:cstheme="minorHAnsi"/>
        </w:rPr>
        <w:t xml:space="preserve"> &lt;</w:t>
      </w:r>
      <w:r w:rsidRPr="00562506">
        <w:rPr>
          <w:rFonts w:asciiTheme="minorHAnsi" w:hAnsiTheme="minorHAnsi" w:cstheme="minorHAnsi"/>
        </w:rPr>
        <w:t xml:space="preserve"> doi: 10.1111/j.1751-5823.2002.tb00336.x</w:t>
      </w:r>
      <w:bookmarkEnd w:id="16"/>
      <w:r w:rsidR="00562506">
        <w:rPr>
          <w:rFonts w:asciiTheme="minorHAnsi" w:hAnsiTheme="minorHAnsi" w:cstheme="minorHAnsi"/>
        </w:rPr>
        <w:t>&gt;  accessed 25 July 2014.</w:t>
      </w:r>
    </w:p>
    <w:p w14:paraId="2AAA1436" w14:textId="282E3CA2" w:rsidR="004B7260" w:rsidRDefault="004B7260" w:rsidP="00B8227B">
      <w:pPr>
        <w:pStyle w:val="EndNoteBibliography"/>
        <w:spacing w:before="60" w:after="0"/>
        <w:ind w:left="720" w:hanging="720"/>
        <w:rPr>
          <w:rFonts w:asciiTheme="minorHAnsi" w:hAnsiTheme="minorHAnsi" w:cstheme="minorHAnsi"/>
        </w:rPr>
      </w:pPr>
      <w:bookmarkStart w:id="17" w:name="_ENREF_28"/>
      <w:r w:rsidRPr="00562506">
        <w:rPr>
          <w:rFonts w:asciiTheme="minorHAnsi" w:hAnsiTheme="minorHAnsi" w:cstheme="minorHAnsi"/>
        </w:rPr>
        <w:t>Gilbert, N</w:t>
      </w:r>
      <w:r w:rsidR="00562506">
        <w:rPr>
          <w:rFonts w:asciiTheme="minorHAnsi" w:hAnsiTheme="minorHAnsi" w:cstheme="minorHAnsi"/>
        </w:rPr>
        <w:t>arissa</w:t>
      </w:r>
      <w:r w:rsidRPr="00562506">
        <w:rPr>
          <w:rFonts w:asciiTheme="minorHAnsi" w:hAnsiTheme="minorHAnsi" w:cstheme="minorHAnsi"/>
        </w:rPr>
        <w:t xml:space="preserve"> </w:t>
      </w:r>
      <w:r w:rsidRPr="00D23B8F">
        <w:rPr>
          <w:rFonts w:asciiTheme="minorHAnsi" w:hAnsiTheme="minorHAnsi" w:cstheme="minorHAnsi"/>
        </w:rPr>
        <w:t xml:space="preserve">(2010). </w:t>
      </w:r>
      <w:r w:rsidRPr="00D23B8F">
        <w:rPr>
          <w:rFonts w:asciiTheme="minorHAnsi" w:hAnsiTheme="minorHAnsi" w:cstheme="minorHAnsi"/>
          <w:i/>
        </w:rPr>
        <w:t>ABS Data Quality Framework: Linking quality assessment to development of performance indicators</w:t>
      </w:r>
      <w:r w:rsidRPr="00D23B8F">
        <w:rPr>
          <w:rFonts w:asciiTheme="minorHAnsi" w:hAnsiTheme="minorHAnsi" w:cstheme="minorHAnsi"/>
        </w:rPr>
        <w:t xml:space="preserve">. Paper presented at the European Conference of Quality in Official Statistics. </w:t>
      </w:r>
      <w:bookmarkStart w:id="18" w:name="_ENREF_29"/>
      <w:bookmarkEnd w:id="17"/>
    </w:p>
    <w:p w14:paraId="59D62FE9" w14:textId="10D8D265" w:rsidR="00A330DF" w:rsidRPr="00A330DF" w:rsidRDefault="00A330DF" w:rsidP="00B8227B">
      <w:pPr>
        <w:pStyle w:val="EndNoteBibliography"/>
        <w:spacing w:before="60" w:after="0"/>
        <w:ind w:left="720" w:hanging="720"/>
        <w:rPr>
          <w:rFonts w:asciiTheme="minorHAnsi" w:hAnsiTheme="minorHAnsi" w:cstheme="minorHAnsi"/>
        </w:rPr>
      </w:pPr>
      <w:r>
        <w:rPr>
          <w:rFonts w:asciiTheme="minorHAnsi" w:hAnsiTheme="minorHAnsi" w:cstheme="minorHAnsi"/>
        </w:rPr>
        <w:t xml:space="preserve">Gorringe, Scott (2011). ‘Honouring our strengths – Moving forward’. Keynote paper from the 2010 Annual SPERA Conference, University of the Sunshine Coast, Queensland. </w:t>
      </w:r>
      <w:r>
        <w:rPr>
          <w:rFonts w:asciiTheme="minorHAnsi" w:hAnsiTheme="minorHAnsi" w:cstheme="minorHAnsi"/>
          <w:i/>
        </w:rPr>
        <w:t xml:space="preserve">Education in Rural Australia, </w:t>
      </w:r>
      <w:r>
        <w:rPr>
          <w:rFonts w:asciiTheme="minorHAnsi" w:hAnsiTheme="minorHAnsi" w:cstheme="minorHAnsi"/>
        </w:rPr>
        <w:t>21(1)</w:t>
      </w:r>
      <w:r w:rsidR="008724C1">
        <w:rPr>
          <w:rFonts w:asciiTheme="minorHAnsi" w:hAnsiTheme="minorHAnsi" w:cstheme="minorHAnsi"/>
        </w:rPr>
        <w:t>:</w:t>
      </w:r>
      <w:r>
        <w:rPr>
          <w:rFonts w:asciiTheme="minorHAnsi" w:hAnsiTheme="minorHAnsi" w:cstheme="minorHAnsi"/>
        </w:rPr>
        <w:t xml:space="preserve"> 21-37.</w:t>
      </w:r>
    </w:p>
    <w:p w14:paraId="08F8E4C0" w14:textId="77777777" w:rsidR="004B7260" w:rsidRPr="007D64D2" w:rsidRDefault="004B7260" w:rsidP="004B7260">
      <w:pPr>
        <w:pStyle w:val="EndNoteBibliography"/>
        <w:spacing w:before="60" w:after="0"/>
        <w:ind w:left="720" w:hanging="720"/>
        <w:rPr>
          <w:rFonts w:asciiTheme="minorHAnsi" w:hAnsiTheme="minorHAnsi" w:cstheme="minorHAnsi"/>
        </w:rPr>
      </w:pPr>
      <w:r w:rsidRPr="007D64D2">
        <w:rPr>
          <w:rFonts w:asciiTheme="minorHAnsi" w:hAnsiTheme="minorHAnsi" w:cstheme="minorHAnsi"/>
          <w:lang w:val="es-ES_tradnl"/>
        </w:rPr>
        <w:t>Jordan, K</w:t>
      </w:r>
      <w:r w:rsidR="00562506">
        <w:rPr>
          <w:rFonts w:asciiTheme="minorHAnsi" w:hAnsiTheme="minorHAnsi" w:cstheme="minorHAnsi"/>
          <w:lang w:val="es-ES_tradnl"/>
        </w:rPr>
        <w:t>irrily</w:t>
      </w:r>
      <w:r w:rsidRPr="007D64D2">
        <w:rPr>
          <w:rFonts w:asciiTheme="minorHAnsi" w:hAnsiTheme="minorHAnsi" w:cstheme="minorHAnsi"/>
          <w:lang w:val="es-ES_tradnl"/>
        </w:rPr>
        <w:t xml:space="preserve">, </w:t>
      </w:r>
      <w:r w:rsidR="007D64D2" w:rsidRPr="007D64D2">
        <w:rPr>
          <w:rFonts w:asciiTheme="minorHAnsi" w:hAnsiTheme="minorHAnsi" w:cstheme="minorHAnsi"/>
          <w:lang w:val="es-ES_tradnl"/>
        </w:rPr>
        <w:t>Hannah Bulloch and Geoff Buchanan</w:t>
      </w:r>
      <w:r w:rsidR="007D64D2" w:rsidRPr="007D64D2" w:rsidDel="007D64D2">
        <w:rPr>
          <w:rFonts w:asciiTheme="minorHAnsi" w:hAnsiTheme="minorHAnsi" w:cstheme="minorHAnsi"/>
          <w:lang w:val="es-ES_tradnl"/>
        </w:rPr>
        <w:t xml:space="preserve"> </w:t>
      </w:r>
      <w:r w:rsidRPr="007D64D2">
        <w:rPr>
          <w:rFonts w:asciiTheme="minorHAnsi" w:hAnsiTheme="minorHAnsi" w:cstheme="minorHAnsi"/>
          <w:lang w:val="es-ES_tradnl"/>
        </w:rPr>
        <w:t xml:space="preserve">(2010). </w:t>
      </w:r>
      <w:r w:rsidRPr="007D64D2">
        <w:rPr>
          <w:rFonts w:asciiTheme="minorHAnsi" w:hAnsiTheme="minorHAnsi" w:cstheme="minorHAnsi"/>
        </w:rPr>
        <w:t xml:space="preserve">Statistical equality and cultural difference in Indigenous </w:t>
      </w:r>
      <w:r w:rsidRPr="007D64D2">
        <w:rPr>
          <w:rFonts w:asciiTheme="minorHAnsi" w:hAnsiTheme="minorHAnsi" w:cstheme="minorHAnsi"/>
        </w:rPr>
        <w:lastRenderedPageBreak/>
        <w:t xml:space="preserve">wellbeing frameworks: A new expression of an enduring debate. </w:t>
      </w:r>
      <w:r w:rsidRPr="007D64D2">
        <w:rPr>
          <w:rFonts w:asciiTheme="minorHAnsi" w:hAnsiTheme="minorHAnsi" w:cstheme="minorHAnsi"/>
          <w:i/>
        </w:rPr>
        <w:t xml:space="preserve">Australian Journal of Social Issues, </w:t>
      </w:r>
      <w:r w:rsidRPr="007D64D2">
        <w:rPr>
          <w:rFonts w:asciiTheme="minorHAnsi" w:hAnsiTheme="minorHAnsi" w:cstheme="minorHAnsi"/>
        </w:rPr>
        <w:t>45(3)</w:t>
      </w:r>
      <w:r w:rsidR="007D64D2">
        <w:rPr>
          <w:rFonts w:asciiTheme="minorHAnsi" w:hAnsiTheme="minorHAnsi" w:cstheme="minorHAnsi"/>
        </w:rPr>
        <w:t>:</w:t>
      </w:r>
      <w:r w:rsidRPr="007D64D2">
        <w:rPr>
          <w:rFonts w:asciiTheme="minorHAnsi" w:hAnsiTheme="minorHAnsi" w:cstheme="minorHAnsi"/>
        </w:rPr>
        <w:t xml:space="preserve"> 333-362. </w:t>
      </w:r>
      <w:bookmarkEnd w:id="18"/>
    </w:p>
    <w:p w14:paraId="4F6C4AD4" w14:textId="690C215D" w:rsidR="004B7260" w:rsidRPr="007D64D2" w:rsidRDefault="004B7260" w:rsidP="004B7260">
      <w:pPr>
        <w:pStyle w:val="EndNoteBibliography"/>
        <w:spacing w:before="60" w:after="0"/>
        <w:ind w:left="720" w:hanging="720"/>
        <w:rPr>
          <w:rFonts w:asciiTheme="minorHAnsi" w:hAnsiTheme="minorHAnsi" w:cstheme="minorHAnsi"/>
        </w:rPr>
      </w:pPr>
      <w:bookmarkStart w:id="19" w:name="_ENREF_30"/>
      <w:r w:rsidRPr="007D64D2">
        <w:rPr>
          <w:rFonts w:asciiTheme="minorHAnsi" w:hAnsiTheme="minorHAnsi" w:cstheme="minorHAnsi"/>
        </w:rPr>
        <w:t>Jordan, K</w:t>
      </w:r>
      <w:r w:rsidR="007D64D2">
        <w:rPr>
          <w:rFonts w:asciiTheme="minorHAnsi" w:hAnsiTheme="minorHAnsi" w:cstheme="minorHAnsi"/>
        </w:rPr>
        <w:t>irrily</w:t>
      </w:r>
      <w:r w:rsidRPr="007D64D2">
        <w:rPr>
          <w:rFonts w:asciiTheme="minorHAnsi" w:hAnsiTheme="minorHAnsi" w:cstheme="minorHAnsi"/>
        </w:rPr>
        <w:t xml:space="preserve"> (2012). </w:t>
      </w:r>
      <w:r w:rsidRPr="007D64D2">
        <w:rPr>
          <w:rFonts w:asciiTheme="minorHAnsi" w:hAnsiTheme="minorHAnsi" w:cstheme="minorHAnsi"/>
          <w:i/>
        </w:rPr>
        <w:t>Indigenous job training: Questioning the numbers</w:t>
      </w:r>
      <w:r w:rsidRPr="007D64D2">
        <w:rPr>
          <w:rFonts w:asciiTheme="minorHAnsi" w:hAnsiTheme="minorHAnsi" w:cstheme="minorHAnsi"/>
        </w:rPr>
        <w:t>. Centre for Aboriginal Economic Policy Research, Australian National University</w:t>
      </w:r>
      <w:r w:rsidR="00562506">
        <w:rPr>
          <w:rFonts w:asciiTheme="minorHAnsi" w:hAnsiTheme="minorHAnsi" w:cstheme="minorHAnsi"/>
        </w:rPr>
        <w:t>,</w:t>
      </w:r>
      <w:r w:rsidRPr="007D64D2">
        <w:rPr>
          <w:rFonts w:asciiTheme="minorHAnsi" w:hAnsiTheme="minorHAnsi" w:cstheme="minorHAnsi"/>
        </w:rPr>
        <w:t xml:space="preserve"> </w:t>
      </w:r>
      <w:r w:rsidR="00562506" w:rsidRPr="00B92110">
        <w:rPr>
          <w:rFonts w:asciiTheme="minorHAnsi" w:hAnsiTheme="minorHAnsi" w:cstheme="minorHAnsi"/>
        </w:rPr>
        <w:t>Canberra</w:t>
      </w:r>
      <w:r w:rsidR="007D64D2">
        <w:rPr>
          <w:rFonts w:asciiTheme="minorHAnsi" w:hAnsiTheme="minorHAnsi" w:cstheme="minorHAnsi"/>
        </w:rPr>
        <w:t>.</w:t>
      </w:r>
      <w:r w:rsidRPr="007D64D2">
        <w:rPr>
          <w:rFonts w:asciiTheme="minorHAnsi" w:hAnsiTheme="minorHAnsi" w:cstheme="minorHAnsi"/>
        </w:rPr>
        <w:t xml:space="preserve"> </w:t>
      </w:r>
      <w:r w:rsidR="007D64D2">
        <w:rPr>
          <w:rFonts w:asciiTheme="minorHAnsi" w:hAnsiTheme="minorHAnsi" w:cstheme="minorHAnsi"/>
        </w:rPr>
        <w:t>&lt;</w:t>
      </w:r>
      <w:r w:rsidR="007D64D2" w:rsidRPr="007D64D2">
        <w:rPr>
          <w:rFonts w:asciiTheme="minorHAnsi" w:hAnsiTheme="minorHAnsi" w:cstheme="minorHAnsi"/>
        </w:rPr>
        <w:t>http://caepr.anu.edu.au/Publications/topical/2012TI2.php</w:t>
      </w:r>
      <w:r w:rsidR="007D64D2">
        <w:rPr>
          <w:rFonts w:asciiTheme="minorHAnsi" w:hAnsiTheme="minorHAnsi" w:cstheme="minorHAnsi"/>
        </w:rPr>
        <w:t>&gt; accessed 31 October 2013.</w:t>
      </w:r>
    </w:p>
    <w:p w14:paraId="087F7FE2" w14:textId="77777777" w:rsidR="007D64D2" w:rsidRDefault="004F3CDC" w:rsidP="00B8227B">
      <w:pPr>
        <w:pStyle w:val="EndNoteBibliography"/>
        <w:spacing w:before="60" w:after="0"/>
        <w:ind w:left="720" w:hanging="720"/>
        <w:rPr>
          <w:rFonts w:asciiTheme="minorHAnsi" w:hAnsiTheme="minorHAnsi" w:cstheme="minorHAnsi"/>
        </w:rPr>
      </w:pPr>
      <w:r w:rsidRPr="004F3CDC">
        <w:rPr>
          <w:rFonts w:asciiTheme="minorHAnsi" w:hAnsiTheme="minorHAnsi" w:cstheme="minorHAnsi"/>
        </w:rPr>
        <w:t xml:space="preserve">Kinnane, Stephen, Judith Wilks, Katie Wilson, Terri Hughes and Sue Thomas. (2014). </w:t>
      </w:r>
      <w:r w:rsidRPr="007D64D2">
        <w:rPr>
          <w:rFonts w:cstheme="minorHAnsi"/>
          <w:i/>
        </w:rPr>
        <w:t>‘Can’t be what you can’t see’: The transition of Aboriginal and Torres Strait Islander students into higher education.</w:t>
      </w:r>
      <w:r w:rsidRPr="004F3CDC">
        <w:rPr>
          <w:rFonts w:asciiTheme="minorHAnsi" w:hAnsiTheme="minorHAnsi" w:cstheme="minorHAnsi"/>
        </w:rPr>
        <w:t xml:space="preserve"> &lt;http://www.olt.gov.au/project-transition-aboriginal-and-torres-strait-islander-students-higher-education-2011-0&gt; accessed June 14, 2014.</w:t>
      </w:r>
      <w:bookmarkStart w:id="20" w:name="_ENREF_31"/>
      <w:bookmarkEnd w:id="19"/>
    </w:p>
    <w:p w14:paraId="1E59C4EA" w14:textId="77777777" w:rsidR="004B7260" w:rsidRPr="007D64D2" w:rsidRDefault="00916196" w:rsidP="00B8227B">
      <w:pPr>
        <w:pStyle w:val="EndNoteBibliography"/>
        <w:spacing w:before="60" w:after="0"/>
        <w:ind w:left="720" w:hanging="720"/>
        <w:rPr>
          <w:rFonts w:asciiTheme="minorHAnsi" w:eastAsiaTheme="minorHAnsi" w:hAnsiTheme="minorHAnsi" w:cstheme="minorHAnsi"/>
          <w:lang w:eastAsia="en-US"/>
        </w:rPr>
      </w:pPr>
      <w:r w:rsidRPr="00916196">
        <w:rPr>
          <w:rFonts w:asciiTheme="minorHAnsi" w:eastAsiaTheme="minorHAnsi" w:hAnsiTheme="minorHAnsi" w:cstheme="minorHAnsi"/>
          <w:lang w:eastAsia="en-US"/>
        </w:rPr>
        <w:t xml:space="preserve">Kippen, S., B. Ward and L. Warren </w:t>
      </w:r>
      <w:r w:rsidR="004B7260" w:rsidRPr="007D64D2">
        <w:rPr>
          <w:rFonts w:asciiTheme="minorHAnsi" w:eastAsiaTheme="minorHAnsi" w:hAnsiTheme="minorHAnsi" w:cstheme="minorHAnsi"/>
          <w:lang w:eastAsia="en-US"/>
        </w:rPr>
        <w:t xml:space="preserve">(2006). </w:t>
      </w:r>
      <w:r w:rsidR="007D64D2">
        <w:rPr>
          <w:rFonts w:asciiTheme="minorHAnsi" w:eastAsiaTheme="minorHAnsi" w:hAnsiTheme="minorHAnsi" w:cstheme="minorHAnsi"/>
          <w:lang w:eastAsia="en-US"/>
        </w:rPr>
        <w:t>‘</w:t>
      </w:r>
      <w:r w:rsidR="004B7260" w:rsidRPr="007D64D2">
        <w:rPr>
          <w:rFonts w:asciiTheme="minorHAnsi" w:eastAsiaTheme="minorHAnsi" w:hAnsiTheme="minorHAnsi" w:cstheme="minorHAnsi"/>
          <w:lang w:eastAsia="en-US"/>
        </w:rPr>
        <w:t xml:space="preserve">Enhancing Indigenous participation in higher education health courses </w:t>
      </w:r>
      <w:r w:rsidR="004B7260" w:rsidRPr="007D64D2">
        <w:rPr>
          <w:rFonts w:asciiTheme="minorHAnsi" w:eastAsiaTheme="minorHAnsi" w:hAnsiTheme="minorHAnsi" w:cstheme="minorHAnsi"/>
          <w:lang w:eastAsia="en-US"/>
        </w:rPr>
        <w:lastRenderedPageBreak/>
        <w:t>in rural Victoria.</w:t>
      </w:r>
      <w:r w:rsidR="007D64D2">
        <w:rPr>
          <w:rFonts w:asciiTheme="minorHAnsi" w:eastAsiaTheme="minorHAnsi" w:hAnsiTheme="minorHAnsi" w:cstheme="minorHAnsi"/>
          <w:lang w:eastAsia="en-US"/>
        </w:rPr>
        <w:t>’</w:t>
      </w:r>
      <w:r w:rsidR="004B7260" w:rsidRPr="007D64D2">
        <w:rPr>
          <w:rFonts w:asciiTheme="minorHAnsi" w:eastAsiaTheme="minorHAnsi" w:hAnsiTheme="minorHAnsi" w:cstheme="minorHAnsi"/>
          <w:lang w:eastAsia="en-US"/>
        </w:rPr>
        <w:t xml:space="preserve"> </w:t>
      </w:r>
      <w:r w:rsidR="004B7260" w:rsidRPr="007D64D2">
        <w:rPr>
          <w:rFonts w:asciiTheme="minorHAnsi" w:eastAsiaTheme="minorHAnsi" w:hAnsiTheme="minorHAnsi" w:cstheme="minorHAnsi"/>
          <w:i/>
          <w:iCs/>
          <w:lang w:eastAsia="en-US"/>
        </w:rPr>
        <w:t xml:space="preserve">Australian Journal of Indigenous Education, </w:t>
      </w:r>
      <w:r w:rsidR="004B7260" w:rsidRPr="00D23B8F">
        <w:rPr>
          <w:rFonts w:asciiTheme="minorHAnsi" w:eastAsiaTheme="minorHAnsi" w:hAnsiTheme="minorHAnsi" w:cstheme="minorHAnsi"/>
          <w:iCs/>
          <w:lang w:eastAsia="en-US"/>
        </w:rPr>
        <w:t>35</w:t>
      </w:r>
      <w:r w:rsidR="004B7260" w:rsidRPr="007D64D2">
        <w:rPr>
          <w:rFonts w:asciiTheme="minorHAnsi" w:eastAsiaTheme="minorHAnsi" w:hAnsiTheme="minorHAnsi" w:cstheme="minorHAnsi"/>
          <w:lang w:eastAsia="en-US"/>
        </w:rPr>
        <w:t>, 1-10.</w:t>
      </w:r>
      <w:r w:rsidR="004B7260" w:rsidRPr="007D64D2">
        <w:rPr>
          <w:rFonts w:asciiTheme="minorHAnsi" w:hAnsiTheme="minorHAnsi" w:cstheme="minorHAnsi"/>
        </w:rPr>
        <w:t xml:space="preserve"> </w:t>
      </w:r>
      <w:bookmarkEnd w:id="20"/>
    </w:p>
    <w:p w14:paraId="74E4073E" w14:textId="111F9996" w:rsidR="000C7E60" w:rsidRPr="000C7E60" w:rsidRDefault="000C7E60" w:rsidP="004B7260">
      <w:pPr>
        <w:pStyle w:val="EndNoteBibliography"/>
        <w:spacing w:before="60" w:after="0"/>
        <w:ind w:left="720" w:hanging="720"/>
        <w:rPr>
          <w:rFonts w:asciiTheme="minorHAnsi" w:hAnsiTheme="minorHAnsi" w:cstheme="minorHAnsi"/>
        </w:rPr>
      </w:pPr>
      <w:bookmarkStart w:id="21" w:name="_ENREF_32"/>
      <w:r>
        <w:rPr>
          <w:rFonts w:asciiTheme="minorHAnsi" w:hAnsiTheme="minorHAnsi" w:cstheme="minorHAnsi"/>
        </w:rPr>
        <w:t xml:space="preserve">Kukutai, Tahu and Maggie Walter (2015). ‘Recognition and indigenizing official statistics: Reflections from Aotearoa New Zealand and Australia.’ </w:t>
      </w:r>
      <w:r>
        <w:rPr>
          <w:rFonts w:asciiTheme="minorHAnsi" w:hAnsiTheme="minorHAnsi" w:cstheme="minorHAnsi"/>
          <w:i/>
        </w:rPr>
        <w:t>Statistical Journal of the IAOS</w:t>
      </w:r>
      <w:r>
        <w:rPr>
          <w:rFonts w:asciiTheme="minorHAnsi" w:hAnsiTheme="minorHAnsi" w:cstheme="minorHAnsi"/>
        </w:rPr>
        <w:t>, 31</w:t>
      </w:r>
      <w:r w:rsidR="008724C1">
        <w:rPr>
          <w:rFonts w:asciiTheme="minorHAnsi" w:hAnsiTheme="minorHAnsi" w:cstheme="minorHAnsi"/>
        </w:rPr>
        <w:t xml:space="preserve">: </w:t>
      </w:r>
      <w:r>
        <w:rPr>
          <w:rFonts w:asciiTheme="minorHAnsi" w:hAnsiTheme="minorHAnsi" w:cstheme="minorHAnsi"/>
        </w:rPr>
        <w:t>317-326.</w:t>
      </w:r>
    </w:p>
    <w:p w14:paraId="6AF6C53D" w14:textId="1168E13A" w:rsidR="004B7260" w:rsidRPr="007D64D2" w:rsidRDefault="004B7260" w:rsidP="004B7260">
      <w:pPr>
        <w:pStyle w:val="EndNoteBibliography"/>
        <w:spacing w:before="60" w:after="0"/>
        <w:ind w:left="720" w:hanging="720"/>
        <w:rPr>
          <w:rFonts w:asciiTheme="minorHAnsi" w:hAnsiTheme="minorHAnsi" w:cstheme="minorHAnsi"/>
        </w:rPr>
      </w:pPr>
      <w:r w:rsidRPr="007D64D2">
        <w:rPr>
          <w:rFonts w:asciiTheme="minorHAnsi" w:hAnsiTheme="minorHAnsi" w:cstheme="minorHAnsi"/>
        </w:rPr>
        <w:t>Leiserow</w:t>
      </w:r>
      <w:r w:rsidR="00932C10" w:rsidRPr="007D64D2">
        <w:rPr>
          <w:rFonts w:asciiTheme="minorHAnsi" w:hAnsiTheme="minorHAnsi" w:cstheme="minorHAnsi"/>
        </w:rPr>
        <w:t>t</w:t>
      </w:r>
      <w:r w:rsidRPr="007D64D2">
        <w:rPr>
          <w:rFonts w:asciiTheme="minorHAnsi" w:hAnsiTheme="minorHAnsi" w:cstheme="minorHAnsi"/>
        </w:rPr>
        <w:t>iz, A</w:t>
      </w:r>
      <w:r w:rsidR="00916196">
        <w:rPr>
          <w:rFonts w:asciiTheme="minorHAnsi" w:hAnsiTheme="minorHAnsi" w:cstheme="minorHAnsi"/>
        </w:rPr>
        <w:t>nthony</w:t>
      </w:r>
      <w:r w:rsidRPr="007D64D2">
        <w:rPr>
          <w:rFonts w:asciiTheme="minorHAnsi" w:hAnsiTheme="minorHAnsi" w:cstheme="minorHAnsi"/>
        </w:rPr>
        <w:t xml:space="preserve"> (2007). Communicating the risks of global warming: American risk perceptions, affective images, and interpretive communities. </w:t>
      </w:r>
      <w:r w:rsidR="00916196" w:rsidRPr="00916196">
        <w:rPr>
          <w:rFonts w:asciiTheme="minorHAnsi" w:hAnsiTheme="minorHAnsi" w:cstheme="minorHAnsi"/>
        </w:rPr>
        <w:t>S. C. Moser and L. Dilling Cambridge University Press, New York, NY: 44-63</w:t>
      </w:r>
      <w:r w:rsidR="00916196">
        <w:rPr>
          <w:rFonts w:asciiTheme="minorHAnsi" w:hAnsiTheme="minorHAnsi" w:cstheme="minorHAnsi"/>
        </w:rPr>
        <w:t>.</w:t>
      </w:r>
    </w:p>
    <w:p w14:paraId="17F9AEC6" w14:textId="1DECA470" w:rsidR="00872AAE" w:rsidRPr="00872AAE" w:rsidRDefault="00872AAE" w:rsidP="004B7260">
      <w:pPr>
        <w:pStyle w:val="EndNoteBibliography"/>
        <w:spacing w:before="60" w:after="0"/>
        <w:ind w:left="720" w:hanging="720"/>
        <w:rPr>
          <w:rFonts w:asciiTheme="minorHAnsi" w:hAnsiTheme="minorHAnsi" w:cstheme="minorHAnsi"/>
        </w:rPr>
      </w:pPr>
      <w:r>
        <w:rPr>
          <w:rFonts w:asciiTheme="minorHAnsi" w:hAnsiTheme="minorHAnsi" w:cstheme="minorHAnsi"/>
        </w:rPr>
        <w:t xml:space="preserve">Martin, Karen (2003). ‘Ways of knowing, being and doing: A theoretical framework and methods for Indigenous and Indigenist re-search.’ </w:t>
      </w:r>
      <w:r>
        <w:rPr>
          <w:rFonts w:asciiTheme="minorHAnsi" w:hAnsiTheme="minorHAnsi" w:cstheme="minorHAnsi"/>
          <w:i/>
        </w:rPr>
        <w:t>Journal of Australian Studies</w:t>
      </w:r>
      <w:r>
        <w:rPr>
          <w:rFonts w:asciiTheme="minorHAnsi" w:hAnsiTheme="minorHAnsi" w:cstheme="minorHAnsi"/>
        </w:rPr>
        <w:t>, 76</w:t>
      </w:r>
      <w:r w:rsidR="00142E70">
        <w:rPr>
          <w:rFonts w:asciiTheme="minorHAnsi" w:hAnsiTheme="minorHAnsi" w:cstheme="minorHAnsi"/>
        </w:rPr>
        <w:t xml:space="preserve">: </w:t>
      </w:r>
      <w:r>
        <w:rPr>
          <w:rFonts w:asciiTheme="minorHAnsi" w:hAnsiTheme="minorHAnsi" w:cstheme="minorHAnsi"/>
        </w:rPr>
        <w:t>203-214.</w:t>
      </w:r>
      <w:r>
        <w:rPr>
          <w:rFonts w:asciiTheme="minorHAnsi" w:hAnsiTheme="minorHAnsi" w:cstheme="minorHAnsi"/>
          <w:i/>
        </w:rPr>
        <w:t xml:space="preserve"> </w:t>
      </w:r>
    </w:p>
    <w:p w14:paraId="60B28DE9" w14:textId="77777777" w:rsidR="004B7260" w:rsidRPr="007D64D2" w:rsidRDefault="00916196" w:rsidP="004B7260">
      <w:pPr>
        <w:pStyle w:val="EndNoteBibliography"/>
        <w:spacing w:before="60" w:after="0"/>
        <w:ind w:left="720" w:hanging="720"/>
        <w:rPr>
          <w:rFonts w:asciiTheme="minorHAnsi" w:hAnsiTheme="minorHAnsi" w:cstheme="minorHAnsi"/>
        </w:rPr>
      </w:pPr>
      <w:r w:rsidRPr="00916196">
        <w:rPr>
          <w:rFonts w:asciiTheme="minorHAnsi" w:hAnsiTheme="minorHAnsi" w:cstheme="minorHAnsi"/>
        </w:rPr>
        <w:t>Martin, David, Frances Morphy, Will Sanders and John Taylor</w:t>
      </w:r>
      <w:r w:rsidRPr="00916196" w:rsidDel="00916196">
        <w:rPr>
          <w:rFonts w:asciiTheme="minorHAnsi" w:hAnsiTheme="minorHAnsi" w:cstheme="minorHAnsi"/>
        </w:rPr>
        <w:t xml:space="preserve"> </w:t>
      </w:r>
      <w:r w:rsidR="004B7260" w:rsidRPr="007D64D2">
        <w:rPr>
          <w:rFonts w:asciiTheme="minorHAnsi" w:hAnsiTheme="minorHAnsi" w:cstheme="minorHAnsi"/>
        </w:rPr>
        <w:t xml:space="preserve">(2004). </w:t>
      </w:r>
      <w:r w:rsidR="004B7260" w:rsidRPr="007D64D2">
        <w:rPr>
          <w:rFonts w:asciiTheme="minorHAnsi" w:hAnsiTheme="minorHAnsi" w:cstheme="minorHAnsi"/>
          <w:i/>
        </w:rPr>
        <w:t xml:space="preserve">Making sense of the census: Observations of the </w:t>
      </w:r>
      <w:r w:rsidR="004B7260" w:rsidRPr="007D64D2">
        <w:rPr>
          <w:rFonts w:asciiTheme="minorHAnsi" w:hAnsiTheme="minorHAnsi" w:cstheme="minorHAnsi"/>
          <w:i/>
        </w:rPr>
        <w:lastRenderedPageBreak/>
        <w:t>2001 enumeration in remote Aboriginal Australia</w:t>
      </w:r>
      <w:r w:rsidR="004B7260" w:rsidRPr="007D64D2">
        <w:rPr>
          <w:rFonts w:asciiTheme="minorHAnsi" w:hAnsiTheme="minorHAnsi" w:cstheme="minorHAnsi"/>
        </w:rPr>
        <w:t xml:space="preserve">. </w:t>
      </w:r>
      <w:r>
        <w:rPr>
          <w:rFonts w:asciiTheme="minorHAnsi" w:hAnsiTheme="minorHAnsi" w:cstheme="minorHAnsi"/>
        </w:rPr>
        <w:t xml:space="preserve">CAEPR, </w:t>
      </w:r>
      <w:r w:rsidR="004B7260" w:rsidRPr="007D64D2">
        <w:rPr>
          <w:rFonts w:asciiTheme="minorHAnsi" w:hAnsiTheme="minorHAnsi" w:cstheme="minorHAnsi"/>
        </w:rPr>
        <w:t>Canberra</w:t>
      </w:r>
      <w:r>
        <w:rPr>
          <w:rFonts w:asciiTheme="minorHAnsi" w:hAnsiTheme="minorHAnsi" w:cstheme="minorHAnsi"/>
        </w:rPr>
        <w:t>.</w:t>
      </w:r>
      <w:r w:rsidR="004B7260" w:rsidRPr="007D64D2">
        <w:rPr>
          <w:rFonts w:asciiTheme="minorHAnsi" w:hAnsiTheme="minorHAnsi" w:cstheme="minorHAnsi"/>
        </w:rPr>
        <w:t xml:space="preserve"> </w:t>
      </w:r>
      <w:bookmarkEnd w:id="21"/>
    </w:p>
    <w:p w14:paraId="3CFB1563" w14:textId="77777777" w:rsidR="004B7260" w:rsidRPr="007D64D2" w:rsidRDefault="00916196" w:rsidP="004B7260">
      <w:pPr>
        <w:pStyle w:val="EndNoteBibliography"/>
        <w:spacing w:before="60" w:after="0"/>
        <w:ind w:left="720" w:hanging="720"/>
        <w:rPr>
          <w:rFonts w:asciiTheme="minorHAnsi" w:hAnsiTheme="minorHAnsi" w:cstheme="minorHAnsi"/>
        </w:rPr>
      </w:pPr>
      <w:bookmarkStart w:id="22" w:name="_ENREF_34"/>
      <w:r w:rsidRPr="00916196">
        <w:rPr>
          <w:rFonts w:asciiTheme="minorHAnsi" w:hAnsiTheme="minorHAnsi" w:cstheme="minorHAnsi"/>
        </w:rPr>
        <w:t xml:space="preserve">Moreton-Robinson, Aileen and Maggie Walter (2009). </w:t>
      </w:r>
      <w:r w:rsidRPr="00916196">
        <w:rPr>
          <w:rFonts w:asciiTheme="minorHAnsi" w:hAnsiTheme="minorHAnsi" w:cstheme="minorHAnsi"/>
          <w:i/>
        </w:rPr>
        <w:t>Indigenous methodologies in social research. Social research methods: An Australian perspective.</w:t>
      </w:r>
      <w:r w:rsidRPr="00916196">
        <w:rPr>
          <w:rFonts w:asciiTheme="minorHAnsi" w:hAnsiTheme="minorHAnsi" w:cstheme="minorHAnsi"/>
        </w:rPr>
        <w:t xml:space="preserve"> M. Walter Oxfo</w:t>
      </w:r>
      <w:r>
        <w:rPr>
          <w:rFonts w:asciiTheme="minorHAnsi" w:hAnsiTheme="minorHAnsi" w:cstheme="minorHAnsi"/>
        </w:rPr>
        <w:t xml:space="preserve">rd University Press, Melbourne: </w:t>
      </w:r>
      <w:r w:rsidRPr="00916196">
        <w:rPr>
          <w:rFonts w:asciiTheme="minorHAnsi" w:hAnsiTheme="minorHAnsi" w:cstheme="minorHAnsi"/>
        </w:rPr>
        <w:t>1-18.</w:t>
      </w:r>
      <w:bookmarkEnd w:id="22"/>
    </w:p>
    <w:p w14:paraId="07704678" w14:textId="7F952BE2" w:rsidR="00297159" w:rsidRDefault="00297159" w:rsidP="004B7260">
      <w:pPr>
        <w:pStyle w:val="EndNoteBibliography"/>
        <w:spacing w:before="60" w:after="0"/>
        <w:ind w:left="720" w:hanging="720"/>
        <w:rPr>
          <w:rFonts w:asciiTheme="minorHAnsi" w:hAnsiTheme="minorHAnsi" w:cstheme="minorHAnsi"/>
          <w:lang w:val="en-US"/>
        </w:rPr>
      </w:pPr>
      <w:bookmarkStart w:id="23" w:name="_ENREF_36"/>
      <w:r w:rsidRPr="00297159">
        <w:rPr>
          <w:rFonts w:asciiTheme="minorHAnsi" w:hAnsiTheme="minorHAnsi" w:cstheme="minorHAnsi"/>
          <w:lang w:val="en-US"/>
        </w:rPr>
        <w:t xml:space="preserve">Moreton-Robinson, Aileen, </w:t>
      </w:r>
      <w:r>
        <w:rPr>
          <w:rFonts w:asciiTheme="minorHAnsi" w:hAnsiTheme="minorHAnsi" w:cstheme="minorHAnsi"/>
          <w:lang w:val="en-US"/>
        </w:rPr>
        <w:t xml:space="preserve">Maggie </w:t>
      </w:r>
      <w:r w:rsidRPr="00297159">
        <w:rPr>
          <w:rFonts w:asciiTheme="minorHAnsi" w:hAnsiTheme="minorHAnsi" w:cstheme="minorHAnsi"/>
          <w:lang w:val="en-US"/>
        </w:rPr>
        <w:t xml:space="preserve">Walter, David </w:t>
      </w:r>
      <w:r>
        <w:rPr>
          <w:rFonts w:asciiTheme="minorHAnsi" w:hAnsiTheme="minorHAnsi" w:cstheme="minorHAnsi"/>
          <w:lang w:val="en-US"/>
        </w:rPr>
        <w:t xml:space="preserve">Singh and </w:t>
      </w:r>
      <w:r w:rsidRPr="00297159">
        <w:rPr>
          <w:rFonts w:asciiTheme="minorHAnsi" w:hAnsiTheme="minorHAnsi" w:cstheme="minorHAnsi"/>
          <w:lang w:val="en-US"/>
        </w:rPr>
        <w:t>Megan</w:t>
      </w:r>
      <w:r>
        <w:rPr>
          <w:rFonts w:asciiTheme="minorHAnsi" w:hAnsiTheme="minorHAnsi" w:cstheme="minorHAnsi"/>
          <w:lang w:val="en-US"/>
        </w:rPr>
        <w:t xml:space="preserve"> Kimber (2011). ‘On stony g</w:t>
      </w:r>
      <w:r w:rsidRPr="00297159">
        <w:rPr>
          <w:rFonts w:asciiTheme="minorHAnsi" w:hAnsiTheme="minorHAnsi" w:cstheme="minorHAnsi"/>
          <w:lang w:val="en-US"/>
        </w:rPr>
        <w:t>round: Governance and Aborigi</w:t>
      </w:r>
      <w:r>
        <w:rPr>
          <w:rFonts w:asciiTheme="minorHAnsi" w:hAnsiTheme="minorHAnsi" w:cstheme="minorHAnsi"/>
          <w:lang w:val="en-US"/>
        </w:rPr>
        <w:t>nal and Torres Strait Islander p</w:t>
      </w:r>
      <w:r w:rsidRPr="00297159">
        <w:rPr>
          <w:rFonts w:asciiTheme="minorHAnsi" w:hAnsiTheme="minorHAnsi" w:cstheme="minorHAnsi"/>
          <w:lang w:val="en-US"/>
        </w:rPr>
        <w:t>articipa</w:t>
      </w:r>
      <w:r>
        <w:rPr>
          <w:rFonts w:asciiTheme="minorHAnsi" w:hAnsiTheme="minorHAnsi" w:cstheme="minorHAnsi"/>
          <w:lang w:val="en-US"/>
        </w:rPr>
        <w:t>tion in Australian Universities.</w:t>
      </w:r>
      <w:r w:rsidRPr="00297159">
        <w:rPr>
          <w:rFonts w:asciiTheme="minorHAnsi" w:hAnsiTheme="minorHAnsi" w:cstheme="minorHAnsi"/>
          <w:lang w:val="en-US"/>
        </w:rPr>
        <w:t xml:space="preserve"> Report to the Review of Higher Education Access and Outcomes for Aboriginal and</w:t>
      </w:r>
      <w:r>
        <w:rPr>
          <w:rFonts w:asciiTheme="minorHAnsi" w:hAnsiTheme="minorHAnsi" w:cstheme="minorHAnsi"/>
          <w:lang w:val="en-US"/>
        </w:rPr>
        <w:t xml:space="preserve"> Torres Strait Islander People.’</w:t>
      </w:r>
      <w:r w:rsidR="00254CDF" w:rsidRPr="00254CDF">
        <w:rPr>
          <w:rFonts w:ascii="Helvetica" w:hAnsi="Helvetica" w:cstheme="minorBidi"/>
          <w:noProof w:val="0"/>
          <w:sz w:val="24"/>
          <w:szCs w:val="24"/>
          <w:lang w:val="en-US"/>
        </w:rPr>
        <w:t xml:space="preserve"> </w:t>
      </w:r>
      <w:r w:rsidR="000D2497" w:rsidRPr="007D3155">
        <w:t>https://docs.education.gov.au/system/files/doc/other/moreton-robinson_et_al_2011.pdf</w:t>
      </w:r>
      <w:r w:rsidR="00254CDF">
        <w:rPr>
          <w:rFonts w:asciiTheme="minorHAnsi" w:hAnsiTheme="minorHAnsi" w:cstheme="minorHAnsi"/>
          <w:lang w:val="en-US"/>
        </w:rPr>
        <w:t xml:space="preserve"> &lt;accessed 10 July 2014&gt;</w:t>
      </w:r>
      <w:r w:rsidRPr="00297159">
        <w:rPr>
          <w:rFonts w:asciiTheme="minorHAnsi" w:hAnsiTheme="minorHAnsi" w:cstheme="minorHAnsi"/>
          <w:lang w:val="en-US"/>
        </w:rPr>
        <w:t xml:space="preserve">  </w:t>
      </w:r>
    </w:p>
    <w:p w14:paraId="794C125A" w14:textId="77777777" w:rsidR="004B7260" w:rsidRPr="007D64D2" w:rsidRDefault="004B7260" w:rsidP="004B7260">
      <w:pPr>
        <w:pStyle w:val="EndNoteBibliography"/>
        <w:spacing w:before="60" w:after="0"/>
        <w:ind w:left="720" w:hanging="720"/>
        <w:rPr>
          <w:rFonts w:asciiTheme="minorHAnsi" w:hAnsiTheme="minorHAnsi" w:cstheme="minorHAnsi"/>
        </w:rPr>
      </w:pPr>
      <w:r w:rsidRPr="007D64D2">
        <w:rPr>
          <w:rFonts w:asciiTheme="minorHAnsi" w:hAnsiTheme="minorHAnsi" w:cstheme="minorHAnsi"/>
        </w:rPr>
        <w:t>Nakata, M</w:t>
      </w:r>
      <w:r w:rsidR="00916196">
        <w:rPr>
          <w:rFonts w:asciiTheme="minorHAnsi" w:hAnsiTheme="minorHAnsi" w:cstheme="minorHAnsi"/>
        </w:rPr>
        <w:t>artin</w:t>
      </w:r>
      <w:r w:rsidRPr="007D64D2">
        <w:rPr>
          <w:rFonts w:asciiTheme="minorHAnsi" w:hAnsiTheme="minorHAnsi" w:cstheme="minorHAnsi"/>
        </w:rPr>
        <w:t xml:space="preserve"> (2007). </w:t>
      </w:r>
      <w:r w:rsidRPr="007D64D2">
        <w:rPr>
          <w:rFonts w:asciiTheme="minorHAnsi" w:hAnsiTheme="minorHAnsi" w:cstheme="minorHAnsi"/>
          <w:i/>
        </w:rPr>
        <w:t>Disciplining the savages: Savaging the disciplines</w:t>
      </w:r>
      <w:r w:rsidRPr="007D64D2">
        <w:rPr>
          <w:rFonts w:asciiTheme="minorHAnsi" w:hAnsiTheme="minorHAnsi" w:cstheme="minorHAnsi"/>
        </w:rPr>
        <w:t>. Aboriginal Studies Press</w:t>
      </w:r>
      <w:r w:rsidR="00916196">
        <w:rPr>
          <w:rFonts w:asciiTheme="minorHAnsi" w:hAnsiTheme="minorHAnsi" w:cstheme="minorHAnsi"/>
        </w:rPr>
        <w:t>, Canberra</w:t>
      </w:r>
      <w:r w:rsidRPr="007D64D2">
        <w:rPr>
          <w:rFonts w:asciiTheme="minorHAnsi" w:hAnsiTheme="minorHAnsi" w:cstheme="minorHAnsi"/>
        </w:rPr>
        <w:t>.</w:t>
      </w:r>
      <w:bookmarkEnd w:id="23"/>
    </w:p>
    <w:p w14:paraId="7668FFB4" w14:textId="1A6D26F2" w:rsidR="004B7260" w:rsidRPr="007D64D2" w:rsidRDefault="004B7260" w:rsidP="004B7260">
      <w:pPr>
        <w:pStyle w:val="EndNoteBibliography"/>
        <w:spacing w:before="60" w:after="0"/>
        <w:ind w:left="720" w:hanging="720"/>
        <w:rPr>
          <w:rFonts w:asciiTheme="minorHAnsi" w:hAnsiTheme="minorHAnsi" w:cstheme="minorHAnsi"/>
        </w:rPr>
      </w:pPr>
      <w:r w:rsidRPr="007D64D2">
        <w:rPr>
          <w:rFonts w:asciiTheme="minorHAnsi" w:hAnsiTheme="minorHAnsi" w:cstheme="minorHAnsi"/>
        </w:rPr>
        <w:lastRenderedPageBreak/>
        <w:t>Nakata, M</w:t>
      </w:r>
      <w:r w:rsidR="00916196">
        <w:rPr>
          <w:rFonts w:asciiTheme="minorHAnsi" w:hAnsiTheme="minorHAnsi" w:cstheme="minorHAnsi"/>
        </w:rPr>
        <w:t>artin</w:t>
      </w:r>
      <w:r w:rsidRPr="007D64D2">
        <w:rPr>
          <w:rFonts w:asciiTheme="minorHAnsi" w:hAnsiTheme="minorHAnsi" w:cstheme="minorHAnsi"/>
        </w:rPr>
        <w:t xml:space="preserve"> (2013). </w:t>
      </w:r>
      <w:r w:rsidR="00916196">
        <w:rPr>
          <w:rFonts w:asciiTheme="minorHAnsi" w:hAnsiTheme="minorHAnsi" w:cstheme="minorHAnsi"/>
        </w:rPr>
        <w:t>‘</w:t>
      </w:r>
      <w:r w:rsidRPr="007D64D2">
        <w:rPr>
          <w:rFonts w:asciiTheme="minorHAnsi" w:hAnsiTheme="minorHAnsi" w:cstheme="minorHAnsi"/>
        </w:rPr>
        <w:t>The rights and blights of the politics in Indigenous higher education.</w:t>
      </w:r>
      <w:r w:rsidR="00916196">
        <w:rPr>
          <w:rFonts w:asciiTheme="minorHAnsi" w:hAnsiTheme="minorHAnsi" w:cstheme="minorHAnsi"/>
        </w:rPr>
        <w:t>’</w:t>
      </w:r>
      <w:r w:rsidRPr="007D64D2">
        <w:rPr>
          <w:rFonts w:asciiTheme="minorHAnsi" w:hAnsiTheme="minorHAnsi" w:cstheme="minorHAnsi"/>
          <w:i/>
        </w:rPr>
        <w:t>Anthropological Forum: A Journal of Social Anthropology and Comparative Sociology</w:t>
      </w:r>
      <w:r w:rsidRPr="007D64D2">
        <w:rPr>
          <w:rFonts w:asciiTheme="minorHAnsi" w:hAnsiTheme="minorHAnsi" w:cstheme="minorHAnsi"/>
        </w:rPr>
        <w:t xml:space="preserve">, </w:t>
      </w:r>
      <w:r w:rsidR="00681656" w:rsidRPr="00681656">
        <w:rPr>
          <w:rFonts w:asciiTheme="minorHAnsi" w:hAnsiTheme="minorHAnsi" w:cstheme="minorHAnsi"/>
        </w:rPr>
        <w:t>23(3): 289-303</w:t>
      </w:r>
      <w:r w:rsidR="00DC022F">
        <w:rPr>
          <w:rFonts w:asciiTheme="minorHAnsi" w:hAnsiTheme="minorHAnsi" w:cstheme="minorHAnsi"/>
        </w:rPr>
        <w:t>.</w:t>
      </w:r>
    </w:p>
    <w:p w14:paraId="352683B8" w14:textId="18C177B0" w:rsidR="004B7260" w:rsidRPr="007D64D2" w:rsidRDefault="004B7260" w:rsidP="004B7260">
      <w:pPr>
        <w:pStyle w:val="EndNoteBibliography"/>
        <w:spacing w:before="60" w:after="0"/>
        <w:ind w:left="720" w:hanging="720"/>
        <w:rPr>
          <w:rFonts w:asciiTheme="minorHAnsi" w:hAnsiTheme="minorHAnsi" w:cstheme="minorHAnsi"/>
        </w:rPr>
      </w:pPr>
      <w:bookmarkStart w:id="24" w:name="_ENREF_37"/>
      <w:r w:rsidRPr="007D64D2">
        <w:rPr>
          <w:rFonts w:asciiTheme="minorHAnsi" w:hAnsiTheme="minorHAnsi" w:cstheme="minorHAnsi"/>
        </w:rPr>
        <w:t xml:space="preserve">National Health and Medical Research Council (NHMRC) (2007). </w:t>
      </w:r>
      <w:r w:rsidRPr="007D64D2">
        <w:rPr>
          <w:rFonts w:asciiTheme="minorHAnsi" w:hAnsiTheme="minorHAnsi" w:cstheme="minorHAnsi"/>
          <w:i/>
        </w:rPr>
        <w:t>National statement on ethical conduct in human research</w:t>
      </w:r>
      <w:r w:rsidRPr="007D64D2">
        <w:rPr>
          <w:rFonts w:asciiTheme="minorHAnsi" w:hAnsiTheme="minorHAnsi" w:cstheme="minorHAnsi"/>
        </w:rPr>
        <w:t xml:space="preserve">.   </w:t>
      </w:r>
      <w:bookmarkEnd w:id="24"/>
      <w:r w:rsidR="00A12A85">
        <w:rPr>
          <w:rFonts w:asciiTheme="minorHAnsi" w:hAnsiTheme="minorHAnsi" w:cstheme="minorHAnsi"/>
        </w:rPr>
        <w:t>&lt;</w:t>
      </w:r>
      <w:r w:rsidR="00A12A85" w:rsidRPr="00A12A85">
        <w:rPr>
          <w:rFonts w:asciiTheme="minorHAnsi" w:hAnsiTheme="minorHAnsi" w:cstheme="minorHAnsi"/>
        </w:rPr>
        <w:t>http://www.nhmrc.gov.au/_files_nhmrc/file/publications/synopses/e72-jul09.pdf</w:t>
      </w:r>
      <w:r w:rsidR="00DC022F">
        <w:rPr>
          <w:rFonts w:asciiTheme="minorHAnsi" w:hAnsiTheme="minorHAnsi" w:cstheme="minorHAnsi"/>
        </w:rPr>
        <w:t xml:space="preserve"> &gt; accessed 13 July 2013.</w:t>
      </w:r>
    </w:p>
    <w:p w14:paraId="2197EFE7" w14:textId="77777777" w:rsidR="000D4760" w:rsidRDefault="004B7260" w:rsidP="004B7260">
      <w:pPr>
        <w:pStyle w:val="EndNoteBibliography"/>
        <w:spacing w:before="60" w:after="0"/>
        <w:ind w:left="720" w:hanging="720"/>
        <w:rPr>
          <w:rFonts w:asciiTheme="minorHAnsi" w:hAnsiTheme="minorHAnsi" w:cstheme="minorHAnsi"/>
        </w:rPr>
      </w:pPr>
      <w:r w:rsidRPr="007D64D2">
        <w:rPr>
          <w:rFonts w:asciiTheme="minorHAnsi" w:hAnsiTheme="minorHAnsi" w:cstheme="minorHAnsi"/>
        </w:rPr>
        <w:t xml:space="preserve">Oxenham, D. (2000). Aboriginal terms of reference. </w:t>
      </w:r>
      <w:r w:rsidR="00A12A85" w:rsidRPr="00A12A85">
        <w:rPr>
          <w:rFonts w:asciiTheme="minorHAnsi" w:hAnsiTheme="minorHAnsi" w:cstheme="minorHAnsi"/>
        </w:rPr>
        <w:t xml:space="preserve">Aboriginal terms  of reference. </w:t>
      </w:r>
      <w:r w:rsidR="00A12A85" w:rsidRPr="00D23B8F">
        <w:rPr>
          <w:rFonts w:asciiTheme="minorHAnsi" w:hAnsiTheme="minorHAnsi" w:cstheme="minorHAnsi"/>
          <w:i/>
        </w:rPr>
        <w:t>Working with Indigenous Australians: A handbook for psychologists</w:t>
      </w:r>
      <w:r w:rsidR="00A12A85" w:rsidRPr="00A12A85">
        <w:rPr>
          <w:rFonts w:asciiTheme="minorHAnsi" w:hAnsiTheme="minorHAnsi" w:cstheme="minorHAnsi"/>
        </w:rPr>
        <w:t>. P. Dudgeon, D. Garvey and H. Pickett</w:t>
      </w:r>
      <w:r w:rsidR="00A12A85">
        <w:rPr>
          <w:rFonts w:asciiTheme="minorHAnsi" w:hAnsiTheme="minorHAnsi" w:cstheme="minorHAnsi"/>
        </w:rPr>
        <w:t>.</w:t>
      </w:r>
      <w:r w:rsidR="00A12A85" w:rsidRPr="00A12A85">
        <w:rPr>
          <w:rFonts w:asciiTheme="minorHAnsi" w:hAnsiTheme="minorHAnsi" w:cstheme="minorHAnsi"/>
        </w:rPr>
        <w:t xml:space="preserve"> Gunada Press, Perth: 109-125.</w:t>
      </w:r>
      <w:bookmarkStart w:id="25" w:name="_ENREF_40"/>
    </w:p>
    <w:p w14:paraId="5CDB4463" w14:textId="511954B5" w:rsidR="00B6740D" w:rsidRDefault="00B6740D" w:rsidP="004B7260">
      <w:pPr>
        <w:pStyle w:val="EndNoteBibliography"/>
        <w:spacing w:before="60" w:after="0"/>
        <w:ind w:left="720" w:hanging="720"/>
        <w:rPr>
          <w:rFonts w:asciiTheme="minorHAnsi" w:hAnsiTheme="minorHAnsi" w:cstheme="minorHAnsi"/>
        </w:rPr>
      </w:pPr>
      <w:r w:rsidRPr="00B6740D">
        <w:rPr>
          <w:rFonts w:asciiTheme="minorHAnsi" w:hAnsiTheme="minorHAnsi" w:cstheme="minorHAnsi"/>
        </w:rPr>
        <w:t xml:space="preserve">Panel for the Review of Higher Education Access and Outcomes for Aboriginal and Torres Strait Islander people (2011). </w:t>
      </w:r>
      <w:r w:rsidRPr="00D23B8F">
        <w:rPr>
          <w:rFonts w:asciiTheme="minorHAnsi" w:hAnsiTheme="minorHAnsi" w:cstheme="minorHAnsi"/>
          <w:i/>
        </w:rPr>
        <w:t xml:space="preserve">Review of higher education access and outcomes for Aboriginal and Torres Strait Islander people: Context </w:t>
      </w:r>
      <w:r w:rsidRPr="00D23B8F">
        <w:rPr>
          <w:rFonts w:asciiTheme="minorHAnsi" w:hAnsiTheme="minorHAnsi" w:cstheme="minorHAnsi"/>
          <w:i/>
        </w:rPr>
        <w:lastRenderedPageBreak/>
        <w:t>paper and call for submissions</w:t>
      </w:r>
      <w:r w:rsidRPr="00B6740D">
        <w:rPr>
          <w:rFonts w:asciiTheme="minorHAnsi" w:hAnsiTheme="minorHAnsi" w:cstheme="minorHAnsi"/>
        </w:rPr>
        <w:t>. &lt;https://docs.education.gov.au/node/36853&gt; accessed 8 October 2015.</w:t>
      </w:r>
    </w:p>
    <w:p w14:paraId="62DB7124" w14:textId="77777777" w:rsidR="004B7260" w:rsidRPr="00D23B8F" w:rsidRDefault="000D4760" w:rsidP="004B7260">
      <w:pPr>
        <w:pStyle w:val="EndNoteBibliography"/>
        <w:spacing w:before="60" w:after="0"/>
        <w:ind w:left="720" w:hanging="720"/>
        <w:rPr>
          <w:rFonts w:asciiTheme="minorHAnsi" w:hAnsiTheme="minorHAnsi" w:cstheme="minorHAnsi"/>
        </w:rPr>
      </w:pPr>
      <w:bookmarkStart w:id="26" w:name="_ENREF_41"/>
      <w:bookmarkEnd w:id="25"/>
      <w:r w:rsidRPr="000D4760">
        <w:rPr>
          <w:rFonts w:asciiTheme="minorHAnsi" w:hAnsiTheme="minorHAnsi" w:cstheme="minorHAnsi"/>
        </w:rPr>
        <w:t xml:space="preserve">Pechenkina, Ekaterina and Ian Anderson </w:t>
      </w:r>
      <w:r w:rsidR="004B7260" w:rsidRPr="00D23B8F">
        <w:rPr>
          <w:rFonts w:asciiTheme="minorHAnsi" w:hAnsiTheme="minorHAnsi" w:cstheme="minorHAnsi"/>
        </w:rPr>
        <w:t xml:space="preserve">(2011). </w:t>
      </w:r>
      <w:r w:rsidR="004B7260" w:rsidRPr="00D23B8F">
        <w:rPr>
          <w:rFonts w:asciiTheme="minorHAnsi" w:hAnsiTheme="minorHAnsi" w:cstheme="minorHAnsi"/>
          <w:i/>
        </w:rPr>
        <w:t>Background paper on Indigenous Australian higher education: Trends, initiatives and policy implications</w:t>
      </w:r>
      <w:r w:rsidR="004B7260" w:rsidRPr="00D23B8F">
        <w:rPr>
          <w:rFonts w:asciiTheme="minorHAnsi" w:hAnsiTheme="minorHAnsi" w:cstheme="minorHAnsi"/>
        </w:rPr>
        <w:t>. Commonwealth of Australia</w:t>
      </w:r>
      <w:r>
        <w:rPr>
          <w:rFonts w:asciiTheme="minorHAnsi" w:hAnsiTheme="minorHAnsi" w:cstheme="minorHAnsi"/>
        </w:rPr>
        <w:t>, Canberra</w:t>
      </w:r>
      <w:r w:rsidR="004B7260" w:rsidRPr="00D23B8F">
        <w:rPr>
          <w:rFonts w:asciiTheme="minorHAnsi" w:hAnsiTheme="minorHAnsi" w:cstheme="minorHAnsi"/>
        </w:rPr>
        <w:t xml:space="preserve">. </w:t>
      </w:r>
      <w:r>
        <w:rPr>
          <w:rFonts w:asciiTheme="minorHAnsi" w:hAnsiTheme="minorHAnsi" w:cstheme="minorHAnsi"/>
        </w:rPr>
        <w:t>&lt;</w:t>
      </w:r>
      <w:r w:rsidRPr="000D4760">
        <w:rPr>
          <w:rFonts w:asciiTheme="minorHAnsi" w:hAnsiTheme="minorHAnsi" w:cstheme="minorHAnsi"/>
        </w:rPr>
        <w:t>https://docs.education.gov.au/documents/background-paper-indigenous-australian-higher-education-trends-initiatives-and-policy</w:t>
      </w:r>
      <w:r>
        <w:rPr>
          <w:rFonts w:asciiTheme="minorHAnsi" w:hAnsiTheme="minorHAnsi" w:cstheme="minorHAnsi"/>
        </w:rPr>
        <w:t xml:space="preserve">&gt; accessed 22 July 2013. </w:t>
      </w:r>
    </w:p>
    <w:p w14:paraId="1790507E" w14:textId="77777777" w:rsidR="00D06834" w:rsidRDefault="00D06834" w:rsidP="004B7260">
      <w:pPr>
        <w:pStyle w:val="EndNoteBibliography"/>
        <w:spacing w:before="60" w:after="0"/>
        <w:ind w:left="720" w:hanging="720"/>
        <w:rPr>
          <w:rFonts w:asciiTheme="minorHAnsi" w:hAnsiTheme="minorHAnsi" w:cstheme="minorHAnsi"/>
        </w:rPr>
      </w:pPr>
      <w:r w:rsidRPr="00D06834">
        <w:rPr>
          <w:rFonts w:asciiTheme="minorHAnsi" w:hAnsiTheme="minorHAnsi" w:cstheme="minorHAnsi"/>
        </w:rPr>
        <w:t xml:space="preserve">PhillipsKPA Pty Ltd. (2012). </w:t>
      </w:r>
      <w:r w:rsidRPr="00D23B8F">
        <w:rPr>
          <w:rFonts w:asciiTheme="minorHAnsi" w:hAnsiTheme="minorHAnsi" w:cstheme="minorHAnsi"/>
          <w:i/>
        </w:rPr>
        <w:t>Review of reporting requirements for universities: Final report.</w:t>
      </w:r>
      <w:r w:rsidRPr="00D06834">
        <w:rPr>
          <w:rFonts w:asciiTheme="minorHAnsi" w:hAnsiTheme="minorHAnsi" w:cstheme="minorHAnsi"/>
        </w:rPr>
        <w:t xml:space="preserve"> &lt;http://www.lhmartininstitute.edu.au/news-updates/latest-news-updates/248-review-of-universities-reporting-requirements-recommends-move-to-a-national-higher-education-inform&gt; accessed 14 July 2015.</w:t>
      </w:r>
    </w:p>
    <w:p w14:paraId="166CA028" w14:textId="77777777" w:rsidR="004B7260" w:rsidRPr="00D23B8F" w:rsidRDefault="004B7260" w:rsidP="004B7260">
      <w:pPr>
        <w:pStyle w:val="EndNoteBibliography"/>
        <w:spacing w:before="60" w:after="0"/>
        <w:ind w:left="720" w:hanging="720"/>
        <w:rPr>
          <w:rFonts w:asciiTheme="minorHAnsi" w:hAnsiTheme="minorHAnsi" w:cstheme="minorHAnsi"/>
        </w:rPr>
      </w:pPr>
      <w:bookmarkStart w:id="27" w:name="_ENREF_42"/>
      <w:bookmarkEnd w:id="26"/>
      <w:r w:rsidRPr="00D23B8F">
        <w:rPr>
          <w:rFonts w:asciiTheme="minorHAnsi" w:hAnsiTheme="minorHAnsi" w:cstheme="minorHAnsi"/>
        </w:rPr>
        <w:lastRenderedPageBreak/>
        <w:t>Polkinghorne, D</w:t>
      </w:r>
      <w:r w:rsidR="007C6E4E">
        <w:rPr>
          <w:rFonts w:asciiTheme="minorHAnsi" w:hAnsiTheme="minorHAnsi" w:cstheme="minorHAnsi"/>
        </w:rPr>
        <w:t>onald</w:t>
      </w:r>
      <w:r w:rsidRPr="00C1751B">
        <w:rPr>
          <w:rFonts w:asciiTheme="minorHAnsi" w:hAnsiTheme="minorHAnsi" w:cstheme="minorHAnsi"/>
        </w:rPr>
        <w:t xml:space="preserve">. (1983). </w:t>
      </w:r>
      <w:r w:rsidRPr="00C1751B">
        <w:rPr>
          <w:rFonts w:asciiTheme="minorHAnsi" w:hAnsiTheme="minorHAnsi" w:cstheme="minorHAnsi"/>
          <w:i/>
        </w:rPr>
        <w:t>Methodology for the human sciences: Systems of inquiry</w:t>
      </w:r>
      <w:r w:rsidRPr="00C1751B">
        <w:rPr>
          <w:rFonts w:asciiTheme="minorHAnsi" w:hAnsiTheme="minorHAnsi" w:cstheme="minorHAnsi"/>
        </w:rPr>
        <w:t>. State University of New York Press</w:t>
      </w:r>
      <w:r w:rsidR="007C6E4E">
        <w:rPr>
          <w:rFonts w:asciiTheme="minorHAnsi" w:hAnsiTheme="minorHAnsi" w:cstheme="minorHAnsi"/>
        </w:rPr>
        <w:t>, Albany</w:t>
      </w:r>
      <w:r w:rsidRPr="00C1751B">
        <w:rPr>
          <w:rFonts w:asciiTheme="minorHAnsi" w:hAnsiTheme="minorHAnsi" w:cstheme="minorHAnsi"/>
        </w:rPr>
        <w:t>.</w:t>
      </w:r>
      <w:bookmarkEnd w:id="27"/>
    </w:p>
    <w:p w14:paraId="6048E2B7" w14:textId="77777777" w:rsidR="004B7260" w:rsidRPr="00D23B8F" w:rsidRDefault="004B7260" w:rsidP="004B7260">
      <w:pPr>
        <w:pStyle w:val="EndNoteBibliography"/>
        <w:spacing w:before="60" w:after="0"/>
        <w:ind w:left="720" w:hanging="720"/>
        <w:rPr>
          <w:rFonts w:asciiTheme="minorHAnsi" w:hAnsiTheme="minorHAnsi" w:cstheme="minorHAnsi"/>
        </w:rPr>
      </w:pPr>
      <w:bookmarkStart w:id="28" w:name="_ENREF_44"/>
      <w:r w:rsidRPr="00D23B8F">
        <w:rPr>
          <w:rFonts w:asciiTheme="minorHAnsi" w:hAnsiTheme="minorHAnsi" w:cstheme="minorHAnsi"/>
        </w:rPr>
        <w:t>Prout, S</w:t>
      </w:r>
      <w:r w:rsidR="00C1751B">
        <w:rPr>
          <w:rFonts w:asciiTheme="minorHAnsi" w:hAnsiTheme="minorHAnsi" w:cstheme="minorHAnsi"/>
        </w:rPr>
        <w:t>arah</w:t>
      </w:r>
      <w:r w:rsidRPr="00D23B8F">
        <w:rPr>
          <w:rFonts w:asciiTheme="minorHAnsi" w:hAnsiTheme="minorHAnsi" w:cstheme="minorHAnsi"/>
        </w:rPr>
        <w:t xml:space="preserve">. (2010). Developing measures of population mobility amongst Indigenous primary school students, </w:t>
      </w:r>
      <w:r w:rsidRPr="00D23B8F">
        <w:rPr>
          <w:rFonts w:asciiTheme="minorHAnsi" w:hAnsiTheme="minorHAnsi" w:cstheme="minorHAnsi"/>
          <w:i/>
        </w:rPr>
        <w:t>CAEPR Working Paper No. 73/2010</w:t>
      </w:r>
      <w:r w:rsidRPr="00D23B8F">
        <w:rPr>
          <w:rFonts w:asciiTheme="minorHAnsi" w:hAnsiTheme="minorHAnsi" w:cstheme="minorHAnsi"/>
        </w:rPr>
        <w:t>.</w:t>
      </w:r>
      <w:r w:rsidRPr="001739F7">
        <w:rPr>
          <w:rFonts w:asciiTheme="minorHAnsi" w:hAnsiTheme="minorHAnsi" w:cstheme="minorHAnsi"/>
        </w:rPr>
        <w:t xml:space="preserve"> </w:t>
      </w:r>
      <w:r w:rsidRPr="00D23B8F">
        <w:rPr>
          <w:rFonts w:asciiTheme="minorHAnsi" w:hAnsiTheme="minorHAnsi" w:cstheme="minorHAnsi"/>
        </w:rPr>
        <w:t>CAEPR, Australian National University</w:t>
      </w:r>
      <w:r w:rsidR="00C1751B">
        <w:rPr>
          <w:rFonts w:asciiTheme="minorHAnsi" w:hAnsiTheme="minorHAnsi" w:cstheme="minorHAnsi"/>
        </w:rPr>
        <w:t>, Canberra</w:t>
      </w:r>
      <w:r w:rsidRPr="00D23B8F">
        <w:rPr>
          <w:rFonts w:asciiTheme="minorHAnsi" w:hAnsiTheme="minorHAnsi" w:cstheme="minorHAnsi"/>
        </w:rPr>
        <w:t>.</w:t>
      </w:r>
      <w:bookmarkEnd w:id="28"/>
    </w:p>
    <w:p w14:paraId="672E6B8F" w14:textId="77777777" w:rsidR="00156D2D" w:rsidRDefault="00156D2D" w:rsidP="004B7260">
      <w:pPr>
        <w:pStyle w:val="EndNoteBibliography"/>
        <w:spacing w:before="60" w:after="0"/>
        <w:ind w:left="720" w:hanging="720"/>
        <w:rPr>
          <w:rFonts w:asciiTheme="minorHAnsi" w:hAnsiTheme="minorHAnsi" w:cstheme="minorHAnsi"/>
        </w:rPr>
      </w:pPr>
      <w:bookmarkStart w:id="29" w:name="_ENREF_45"/>
      <w:r w:rsidRPr="00156D2D">
        <w:rPr>
          <w:rFonts w:asciiTheme="minorHAnsi" w:hAnsiTheme="minorHAnsi" w:cstheme="minorHAnsi"/>
        </w:rPr>
        <w:t xml:space="preserve">Rigby, W., E. Duffy, J. Manners, H. Latham, L. Lyons, L. Crawford and R. Eldridge (2011). 'Closing the Gap: cultural safety in Indigenous health education.' </w:t>
      </w:r>
      <w:r w:rsidRPr="00D23B8F">
        <w:rPr>
          <w:rFonts w:asciiTheme="minorHAnsi" w:hAnsiTheme="minorHAnsi" w:cstheme="minorHAnsi"/>
          <w:i/>
        </w:rPr>
        <w:t>Contemporary Nurse</w:t>
      </w:r>
      <w:r w:rsidRPr="00156D2D">
        <w:rPr>
          <w:rFonts w:asciiTheme="minorHAnsi" w:hAnsiTheme="minorHAnsi" w:cstheme="minorHAnsi"/>
        </w:rPr>
        <w:t xml:space="preserve"> 37(1): 21-30.</w:t>
      </w:r>
    </w:p>
    <w:p w14:paraId="7AE1280F" w14:textId="53D37F51" w:rsidR="00EA0340" w:rsidRPr="009B6D36" w:rsidRDefault="00EA0340" w:rsidP="00EA0340">
      <w:pPr>
        <w:pStyle w:val="EndNoteBibliography"/>
        <w:spacing w:before="60" w:after="0"/>
        <w:ind w:left="720" w:hanging="720"/>
        <w:rPr>
          <w:rFonts w:asciiTheme="minorHAnsi" w:hAnsiTheme="minorHAnsi" w:cstheme="minorHAnsi"/>
        </w:rPr>
      </w:pPr>
      <w:r>
        <w:rPr>
          <w:rFonts w:asciiTheme="minorHAnsi" w:hAnsiTheme="minorHAnsi" w:cstheme="minorHAnsi"/>
        </w:rPr>
        <w:t xml:space="preserve">Rigney, Lester-Irabinna (1999). ‘Internationalization of an Indigenous anticolonial cultural critique of research methodologies: A guide to Indigenist research methodology and its principles.’ </w:t>
      </w:r>
      <w:r>
        <w:rPr>
          <w:rFonts w:asciiTheme="minorHAnsi" w:hAnsiTheme="minorHAnsi" w:cstheme="minorHAnsi"/>
          <w:i/>
        </w:rPr>
        <w:t>Wicazo Sa Review</w:t>
      </w:r>
      <w:r w:rsidR="009B6D36">
        <w:rPr>
          <w:rFonts w:asciiTheme="minorHAnsi" w:hAnsiTheme="minorHAnsi" w:cstheme="minorHAnsi"/>
        </w:rPr>
        <w:t xml:space="preserve"> 14(2): 109-121.</w:t>
      </w:r>
    </w:p>
    <w:p w14:paraId="2ACAC2DC" w14:textId="77777777" w:rsidR="004B7260" w:rsidRPr="00D23B8F" w:rsidRDefault="004B7260" w:rsidP="004B7260">
      <w:pPr>
        <w:pStyle w:val="EndNoteBibliography"/>
        <w:spacing w:before="60" w:after="0"/>
        <w:ind w:left="720" w:hanging="720"/>
        <w:rPr>
          <w:rFonts w:asciiTheme="minorHAnsi" w:hAnsiTheme="minorHAnsi" w:cstheme="minorHAnsi"/>
        </w:rPr>
      </w:pPr>
      <w:r w:rsidRPr="00D23B8F">
        <w:rPr>
          <w:rFonts w:asciiTheme="minorHAnsi" w:hAnsiTheme="minorHAnsi" w:cstheme="minorHAnsi"/>
        </w:rPr>
        <w:lastRenderedPageBreak/>
        <w:t>Rowse, T</w:t>
      </w:r>
      <w:r w:rsidR="006D5CC1">
        <w:rPr>
          <w:rFonts w:asciiTheme="minorHAnsi" w:hAnsiTheme="minorHAnsi" w:cstheme="minorHAnsi"/>
        </w:rPr>
        <w:t>im</w:t>
      </w:r>
      <w:r w:rsidRPr="00D23B8F">
        <w:rPr>
          <w:rFonts w:asciiTheme="minorHAnsi" w:hAnsiTheme="minorHAnsi" w:cstheme="minorHAnsi"/>
        </w:rPr>
        <w:t xml:space="preserve"> (2009). </w:t>
      </w:r>
      <w:r w:rsidR="006D5CC1">
        <w:rPr>
          <w:rFonts w:asciiTheme="minorHAnsi" w:hAnsiTheme="minorHAnsi" w:cstheme="minorHAnsi"/>
        </w:rPr>
        <w:t>‘</w:t>
      </w:r>
      <w:r w:rsidRPr="00156D2D">
        <w:rPr>
          <w:rFonts w:asciiTheme="minorHAnsi" w:hAnsiTheme="minorHAnsi" w:cstheme="minorHAnsi"/>
        </w:rPr>
        <w:t>Official statistics and the contemporary politics of Indigeneity.</w:t>
      </w:r>
      <w:r w:rsidR="006D5CC1">
        <w:rPr>
          <w:rFonts w:asciiTheme="minorHAnsi" w:hAnsiTheme="minorHAnsi" w:cstheme="minorHAnsi"/>
        </w:rPr>
        <w:t>’</w:t>
      </w:r>
      <w:r w:rsidRPr="00156D2D">
        <w:rPr>
          <w:rFonts w:asciiTheme="minorHAnsi" w:hAnsiTheme="minorHAnsi" w:cstheme="minorHAnsi"/>
        </w:rPr>
        <w:t xml:space="preserve"> </w:t>
      </w:r>
      <w:r w:rsidRPr="00156D2D">
        <w:rPr>
          <w:rFonts w:asciiTheme="minorHAnsi" w:hAnsiTheme="minorHAnsi" w:cstheme="minorHAnsi"/>
          <w:i/>
        </w:rPr>
        <w:t xml:space="preserve">Australian Journal of Political Science </w:t>
      </w:r>
      <w:r w:rsidRPr="00156D2D">
        <w:rPr>
          <w:rFonts w:asciiTheme="minorHAnsi" w:hAnsiTheme="minorHAnsi" w:cstheme="minorHAnsi"/>
        </w:rPr>
        <w:t>44(2)</w:t>
      </w:r>
      <w:r w:rsidR="006D5CC1">
        <w:rPr>
          <w:rFonts w:asciiTheme="minorHAnsi" w:hAnsiTheme="minorHAnsi" w:cstheme="minorHAnsi"/>
        </w:rPr>
        <w:t>:</w:t>
      </w:r>
      <w:r w:rsidRPr="00156D2D">
        <w:rPr>
          <w:rFonts w:asciiTheme="minorHAnsi" w:hAnsiTheme="minorHAnsi" w:cstheme="minorHAnsi"/>
        </w:rPr>
        <w:t xml:space="preserve"> 193-211</w:t>
      </w:r>
      <w:r w:rsidRPr="00D23B8F">
        <w:rPr>
          <w:rFonts w:asciiTheme="minorHAnsi" w:hAnsiTheme="minorHAnsi" w:cstheme="minorHAnsi"/>
        </w:rPr>
        <w:t xml:space="preserve">. </w:t>
      </w:r>
      <w:bookmarkEnd w:id="29"/>
    </w:p>
    <w:p w14:paraId="3FA22BB1" w14:textId="77777777" w:rsidR="004B7260" w:rsidRPr="00D23B8F" w:rsidRDefault="00FE494F" w:rsidP="004B7260">
      <w:pPr>
        <w:pStyle w:val="EndNoteBibliography"/>
        <w:spacing w:before="60" w:after="0"/>
        <w:ind w:left="720" w:hanging="720"/>
        <w:rPr>
          <w:rFonts w:asciiTheme="minorHAnsi" w:hAnsiTheme="minorHAnsi" w:cstheme="minorHAnsi"/>
        </w:rPr>
      </w:pPr>
      <w:bookmarkStart w:id="30" w:name="_ENREF_46"/>
      <w:r w:rsidRPr="00FE494F">
        <w:rPr>
          <w:rFonts w:asciiTheme="minorHAnsi" w:hAnsiTheme="minorHAnsi" w:cstheme="minorHAnsi"/>
        </w:rPr>
        <w:t xml:space="preserve">Rowse, Tim and Len Smith (2010). 'The limits of 'elimination' in the politics of population.' </w:t>
      </w:r>
      <w:r w:rsidRPr="00156D2D">
        <w:rPr>
          <w:rFonts w:asciiTheme="minorHAnsi" w:hAnsiTheme="minorHAnsi" w:cstheme="minorHAnsi"/>
          <w:i/>
        </w:rPr>
        <w:t>Australian Historical Studies</w:t>
      </w:r>
      <w:r w:rsidRPr="00FE494F">
        <w:rPr>
          <w:rFonts w:asciiTheme="minorHAnsi" w:hAnsiTheme="minorHAnsi" w:cstheme="minorHAnsi"/>
        </w:rPr>
        <w:t xml:space="preserve"> 41(1): 90-106.</w:t>
      </w:r>
      <w:r w:rsidR="00156D2D">
        <w:rPr>
          <w:rFonts w:asciiTheme="minorHAnsi" w:hAnsiTheme="minorHAnsi" w:cstheme="minorHAnsi"/>
        </w:rPr>
        <w:t xml:space="preserve"> &lt;</w:t>
      </w:r>
      <w:r w:rsidR="004B7260" w:rsidRPr="00156D2D">
        <w:rPr>
          <w:rFonts w:asciiTheme="minorHAnsi" w:hAnsiTheme="minorHAnsi" w:cstheme="minorHAnsi"/>
        </w:rPr>
        <w:t>doi: 10.1080/10314610903317598</w:t>
      </w:r>
      <w:bookmarkEnd w:id="30"/>
      <w:r w:rsidR="00156D2D">
        <w:rPr>
          <w:rFonts w:asciiTheme="minorHAnsi" w:hAnsiTheme="minorHAnsi" w:cstheme="minorHAnsi"/>
        </w:rPr>
        <w:t>&gt; accessed 31 October 2013.</w:t>
      </w:r>
    </w:p>
    <w:p w14:paraId="4B7300DD" w14:textId="73C81EEA" w:rsidR="001908A3" w:rsidRPr="009F4189" w:rsidRDefault="001908A3" w:rsidP="004B7260">
      <w:pPr>
        <w:pStyle w:val="EndNoteBibliography"/>
        <w:spacing w:before="60" w:after="0"/>
        <w:ind w:left="720" w:hanging="720"/>
        <w:rPr>
          <w:rFonts w:asciiTheme="minorHAnsi" w:hAnsiTheme="minorHAnsi" w:cstheme="minorHAnsi"/>
        </w:rPr>
      </w:pPr>
      <w:bookmarkStart w:id="31" w:name="_ENREF_47"/>
      <w:r>
        <w:rPr>
          <w:rFonts w:asciiTheme="minorHAnsi" w:hAnsiTheme="minorHAnsi" w:cstheme="minorHAnsi"/>
        </w:rPr>
        <w:t xml:space="preserve">Sarra, Chris (2011). </w:t>
      </w:r>
      <w:r>
        <w:rPr>
          <w:rFonts w:asciiTheme="minorHAnsi" w:hAnsiTheme="minorHAnsi" w:cstheme="minorHAnsi"/>
          <w:i/>
        </w:rPr>
        <w:t>Strong and smart – Towards a pedagogy for Emancipation: Education for First Peoples</w:t>
      </w:r>
      <w:r w:rsidR="009F4189">
        <w:rPr>
          <w:rFonts w:asciiTheme="minorHAnsi" w:hAnsiTheme="minorHAnsi" w:cstheme="minorHAnsi"/>
        </w:rPr>
        <w:t>. Routledge, New York.</w:t>
      </w:r>
    </w:p>
    <w:p w14:paraId="15F4F6C7" w14:textId="5F56E4B4" w:rsidR="004B7260" w:rsidRPr="00156D2D" w:rsidRDefault="004B7260" w:rsidP="004B7260">
      <w:pPr>
        <w:pStyle w:val="EndNoteBibliography"/>
        <w:spacing w:before="60" w:after="0"/>
        <w:ind w:left="720" w:hanging="720"/>
        <w:rPr>
          <w:rFonts w:asciiTheme="minorHAnsi" w:hAnsiTheme="minorHAnsi" w:cstheme="minorHAnsi"/>
        </w:rPr>
      </w:pPr>
      <w:r w:rsidRPr="00156D2D">
        <w:rPr>
          <w:rFonts w:asciiTheme="minorHAnsi" w:hAnsiTheme="minorHAnsi" w:cstheme="minorHAnsi"/>
        </w:rPr>
        <w:t>Schield, M</w:t>
      </w:r>
      <w:r w:rsidR="00156D2D">
        <w:rPr>
          <w:rFonts w:asciiTheme="minorHAnsi" w:hAnsiTheme="minorHAnsi" w:cstheme="minorHAnsi"/>
        </w:rPr>
        <w:t>ilo</w:t>
      </w:r>
      <w:r w:rsidRPr="00156D2D">
        <w:rPr>
          <w:rFonts w:asciiTheme="minorHAnsi" w:hAnsiTheme="minorHAnsi" w:cstheme="minorHAnsi"/>
        </w:rPr>
        <w:t xml:space="preserve"> (2004). </w:t>
      </w:r>
      <w:r w:rsidR="00156D2D">
        <w:rPr>
          <w:rFonts w:asciiTheme="minorHAnsi" w:hAnsiTheme="minorHAnsi" w:cstheme="minorHAnsi"/>
        </w:rPr>
        <w:t>‘</w:t>
      </w:r>
      <w:r w:rsidRPr="00156D2D">
        <w:rPr>
          <w:rFonts w:asciiTheme="minorHAnsi" w:hAnsiTheme="minorHAnsi" w:cstheme="minorHAnsi"/>
        </w:rPr>
        <w:t>Information literacy, statistical literacy, data literacy.</w:t>
      </w:r>
      <w:r w:rsidR="00156D2D">
        <w:rPr>
          <w:rFonts w:asciiTheme="minorHAnsi" w:hAnsiTheme="minorHAnsi" w:cstheme="minorHAnsi"/>
        </w:rPr>
        <w:t>’</w:t>
      </w:r>
      <w:r w:rsidRPr="00156D2D">
        <w:rPr>
          <w:rFonts w:asciiTheme="minorHAnsi" w:hAnsiTheme="minorHAnsi" w:cstheme="minorHAnsi"/>
        </w:rPr>
        <w:t xml:space="preserve"> </w:t>
      </w:r>
      <w:r w:rsidRPr="00156D2D">
        <w:rPr>
          <w:rFonts w:asciiTheme="minorHAnsi" w:hAnsiTheme="minorHAnsi" w:cstheme="minorHAnsi"/>
          <w:i/>
        </w:rPr>
        <w:t>IASSIST Quarterly, Summer/Fall</w:t>
      </w:r>
      <w:r w:rsidR="00156D2D">
        <w:rPr>
          <w:rFonts w:asciiTheme="minorHAnsi" w:hAnsiTheme="minorHAnsi" w:cstheme="minorHAnsi"/>
        </w:rPr>
        <w:t>,</w:t>
      </w:r>
      <w:r w:rsidRPr="00156D2D">
        <w:rPr>
          <w:rFonts w:asciiTheme="minorHAnsi" w:hAnsiTheme="minorHAnsi" w:cstheme="minorHAnsi"/>
        </w:rPr>
        <w:t xml:space="preserve"> 6-11. </w:t>
      </w:r>
      <w:r w:rsidR="00156D2D">
        <w:rPr>
          <w:rFonts w:asciiTheme="minorHAnsi" w:hAnsiTheme="minorHAnsi" w:cstheme="minorHAnsi"/>
        </w:rPr>
        <w:t>&lt;</w:t>
      </w:r>
      <w:r w:rsidR="00397954" w:rsidRPr="00156D2D">
        <w:rPr>
          <w:rFonts w:asciiTheme="minorHAnsi" w:hAnsiTheme="minorHAnsi" w:cstheme="minorHAnsi"/>
        </w:rPr>
        <w:t xml:space="preserve"> </w:t>
      </w:r>
      <w:r w:rsidR="00156D2D" w:rsidRPr="00156D2D">
        <w:rPr>
          <w:rFonts w:asciiTheme="minorHAnsi" w:hAnsiTheme="minorHAnsi" w:cstheme="minorHAnsi"/>
        </w:rPr>
        <w:t>http://www.iassistdata.org/content/information-literacy-statistical-literacy-data-literacy</w:t>
      </w:r>
      <w:r w:rsidR="00156D2D">
        <w:rPr>
          <w:rFonts w:asciiTheme="minorHAnsi" w:hAnsiTheme="minorHAnsi" w:cstheme="minorHAnsi"/>
        </w:rPr>
        <w:t>&gt; accessed 2 July 2014.</w:t>
      </w:r>
    </w:p>
    <w:p w14:paraId="71ABF79F" w14:textId="77777777" w:rsidR="004B7260" w:rsidRPr="00D23B8F" w:rsidRDefault="004B7260" w:rsidP="004B7260">
      <w:pPr>
        <w:pStyle w:val="EndNoteBibliography"/>
        <w:spacing w:before="60" w:after="0"/>
        <w:ind w:left="720" w:hanging="720"/>
        <w:rPr>
          <w:rFonts w:asciiTheme="minorHAnsi" w:hAnsiTheme="minorHAnsi" w:cstheme="minorHAnsi"/>
        </w:rPr>
      </w:pPr>
      <w:r w:rsidRPr="00D23B8F">
        <w:rPr>
          <w:rFonts w:asciiTheme="minorHAnsi" w:hAnsiTheme="minorHAnsi" w:cstheme="minorHAnsi"/>
        </w:rPr>
        <w:lastRenderedPageBreak/>
        <w:t xml:space="preserve">Smith, </w:t>
      </w:r>
      <w:r w:rsidRPr="00156D2D">
        <w:rPr>
          <w:rFonts w:asciiTheme="minorHAnsi" w:hAnsiTheme="minorHAnsi" w:cstheme="minorHAnsi"/>
        </w:rPr>
        <w:t>L</w:t>
      </w:r>
      <w:r w:rsidR="00156D2D">
        <w:rPr>
          <w:rFonts w:asciiTheme="minorHAnsi" w:hAnsiTheme="minorHAnsi" w:cstheme="minorHAnsi"/>
        </w:rPr>
        <w:t>inda</w:t>
      </w:r>
      <w:r w:rsidRPr="00156D2D">
        <w:rPr>
          <w:rFonts w:asciiTheme="minorHAnsi" w:hAnsiTheme="minorHAnsi" w:cstheme="minorHAnsi"/>
        </w:rPr>
        <w:t>. T</w:t>
      </w:r>
      <w:r w:rsidR="00156D2D">
        <w:rPr>
          <w:rFonts w:asciiTheme="minorHAnsi" w:hAnsiTheme="minorHAnsi" w:cstheme="minorHAnsi"/>
        </w:rPr>
        <w:t>uhiwai</w:t>
      </w:r>
      <w:r w:rsidRPr="00156D2D">
        <w:rPr>
          <w:rFonts w:asciiTheme="minorHAnsi" w:hAnsiTheme="minorHAnsi" w:cstheme="minorHAnsi"/>
        </w:rPr>
        <w:t xml:space="preserve">. (2012). </w:t>
      </w:r>
      <w:r w:rsidRPr="00156D2D">
        <w:rPr>
          <w:rFonts w:asciiTheme="minorHAnsi" w:hAnsiTheme="minorHAnsi" w:cstheme="minorHAnsi"/>
          <w:i/>
        </w:rPr>
        <w:t xml:space="preserve">Decolonizing methodologies: Research and Indigenous peoples </w:t>
      </w:r>
      <w:r w:rsidRPr="00156D2D">
        <w:rPr>
          <w:rFonts w:asciiTheme="minorHAnsi" w:hAnsiTheme="minorHAnsi" w:cstheme="minorHAnsi"/>
        </w:rPr>
        <w:t>(2nd ed.). Zed Books</w:t>
      </w:r>
      <w:r w:rsidR="00156D2D">
        <w:rPr>
          <w:rFonts w:asciiTheme="minorHAnsi" w:hAnsiTheme="minorHAnsi" w:cstheme="minorHAnsi"/>
        </w:rPr>
        <w:t>, London</w:t>
      </w:r>
      <w:r w:rsidRPr="00D23B8F">
        <w:rPr>
          <w:rFonts w:asciiTheme="minorHAnsi" w:hAnsiTheme="minorHAnsi" w:cstheme="minorHAnsi"/>
        </w:rPr>
        <w:t>.</w:t>
      </w:r>
      <w:bookmarkEnd w:id="31"/>
    </w:p>
    <w:p w14:paraId="6D478BF7" w14:textId="77777777" w:rsidR="00663828" w:rsidRDefault="00663828" w:rsidP="004B7260">
      <w:pPr>
        <w:pStyle w:val="EndNoteBibliography"/>
        <w:spacing w:before="60" w:after="0"/>
        <w:ind w:left="720" w:hanging="720"/>
        <w:rPr>
          <w:rFonts w:asciiTheme="minorHAnsi" w:hAnsiTheme="minorHAnsi" w:cstheme="minorHAnsi"/>
        </w:rPr>
      </w:pPr>
      <w:bookmarkStart w:id="32" w:name="_ENREF_52"/>
      <w:r w:rsidRPr="00663828">
        <w:rPr>
          <w:rFonts w:asciiTheme="minorHAnsi" w:hAnsiTheme="minorHAnsi" w:cstheme="minorHAnsi"/>
        </w:rPr>
        <w:t xml:space="preserve">Taylor, Andrew and Bruce Dunn (2010). 'Conceptualising and measuring the mobility of Indigenous students in the Northern Territory.' </w:t>
      </w:r>
      <w:r w:rsidRPr="00D23B8F">
        <w:rPr>
          <w:rFonts w:asciiTheme="minorHAnsi" w:hAnsiTheme="minorHAnsi" w:cstheme="minorHAnsi"/>
          <w:i/>
        </w:rPr>
        <w:t>Australian Journal of Indigenous Education</w:t>
      </w:r>
      <w:r w:rsidRPr="00663828">
        <w:rPr>
          <w:rFonts w:asciiTheme="minorHAnsi" w:hAnsiTheme="minorHAnsi" w:cstheme="minorHAnsi"/>
        </w:rPr>
        <w:t xml:space="preserve"> 39: 88-97</w:t>
      </w:r>
      <w:bookmarkStart w:id="33" w:name="_ENREF_53"/>
      <w:bookmarkEnd w:id="32"/>
      <w:r>
        <w:rPr>
          <w:rFonts w:asciiTheme="minorHAnsi" w:hAnsiTheme="minorHAnsi" w:cstheme="minorHAnsi"/>
        </w:rPr>
        <w:t>.</w:t>
      </w:r>
    </w:p>
    <w:p w14:paraId="6CD170A6" w14:textId="77777777" w:rsidR="00663828" w:rsidRDefault="00663828" w:rsidP="004B7260">
      <w:pPr>
        <w:pStyle w:val="EndNoteBibliography"/>
        <w:spacing w:before="60" w:after="0"/>
        <w:ind w:left="720" w:hanging="720"/>
        <w:rPr>
          <w:rFonts w:asciiTheme="minorHAnsi" w:hAnsiTheme="minorHAnsi" w:cstheme="minorHAnsi"/>
        </w:rPr>
      </w:pPr>
      <w:r w:rsidRPr="00663828">
        <w:rPr>
          <w:rFonts w:asciiTheme="minorHAnsi" w:hAnsiTheme="minorHAnsi" w:cstheme="minorHAnsi"/>
        </w:rPr>
        <w:t xml:space="preserve">Taylor, John (2011). 'Postcolonial transformation of the Australian Indigenous population.' </w:t>
      </w:r>
      <w:r w:rsidRPr="00D23B8F">
        <w:rPr>
          <w:rFonts w:asciiTheme="minorHAnsi" w:hAnsiTheme="minorHAnsi" w:cstheme="minorHAnsi"/>
          <w:i/>
        </w:rPr>
        <w:t>Geographical Research</w:t>
      </w:r>
      <w:r w:rsidRPr="00663828">
        <w:rPr>
          <w:rFonts w:asciiTheme="minorHAnsi" w:hAnsiTheme="minorHAnsi" w:cstheme="minorHAnsi"/>
        </w:rPr>
        <w:t xml:space="preserve"> 49(3): 286-300</w:t>
      </w:r>
      <w:r>
        <w:rPr>
          <w:rFonts w:asciiTheme="minorHAnsi" w:hAnsiTheme="minorHAnsi" w:cstheme="minorHAnsi"/>
        </w:rPr>
        <w:t xml:space="preserve"> &lt;</w:t>
      </w:r>
      <w:r w:rsidR="004B7260" w:rsidRPr="00663828">
        <w:rPr>
          <w:rFonts w:asciiTheme="minorHAnsi" w:hAnsiTheme="minorHAnsi" w:cstheme="minorHAnsi"/>
        </w:rPr>
        <w:t>10.1111/j.1745-5871.2011.00698.x</w:t>
      </w:r>
      <w:bookmarkEnd w:id="33"/>
      <w:r>
        <w:rPr>
          <w:rFonts w:asciiTheme="minorHAnsi" w:hAnsiTheme="minorHAnsi" w:cstheme="minorHAnsi"/>
        </w:rPr>
        <w:t>&gt; accessed 4 July 2013.</w:t>
      </w:r>
      <w:bookmarkStart w:id="34" w:name="_ENREF_54"/>
    </w:p>
    <w:p w14:paraId="39DB7C21" w14:textId="77777777" w:rsidR="00A330DF" w:rsidRDefault="00663828" w:rsidP="00B8227B">
      <w:pPr>
        <w:pStyle w:val="EndNoteBibliography"/>
        <w:spacing w:before="60" w:after="0"/>
        <w:ind w:left="720" w:hanging="720"/>
        <w:rPr>
          <w:rFonts w:asciiTheme="minorHAnsi" w:hAnsiTheme="minorHAnsi" w:cstheme="minorHAnsi"/>
        </w:rPr>
      </w:pPr>
      <w:r w:rsidRPr="00663828">
        <w:rPr>
          <w:rFonts w:asciiTheme="minorHAnsi" w:hAnsiTheme="minorHAnsi" w:cstheme="minorHAnsi"/>
        </w:rPr>
        <w:t>Taylor, John, B. Doran, M. Parriman and E. Yu (2012). Statistics for community governance: The Yawuru Indigenous population survey of Broome. Canberra, Centre for Aboriginal Economic Policy Research, Australian National University.</w:t>
      </w:r>
      <w:bookmarkEnd w:id="34"/>
    </w:p>
    <w:p w14:paraId="3435C027" w14:textId="77777777" w:rsidR="004B7260" w:rsidRPr="00663828" w:rsidRDefault="00663828" w:rsidP="00B8227B">
      <w:pPr>
        <w:pStyle w:val="EndNoteBibliography"/>
        <w:spacing w:before="60" w:after="0"/>
        <w:ind w:left="720" w:hanging="720"/>
        <w:rPr>
          <w:rFonts w:asciiTheme="minorHAnsi" w:hAnsiTheme="minorHAnsi" w:cstheme="minorHAnsi"/>
        </w:rPr>
      </w:pPr>
      <w:r w:rsidRPr="00663828">
        <w:rPr>
          <w:rFonts w:asciiTheme="minorHAnsi" w:hAnsiTheme="minorHAnsi" w:cstheme="minorHAnsi"/>
        </w:rPr>
        <w:lastRenderedPageBreak/>
        <w:t xml:space="preserve">Throgmorton, James A. (2000). 'On the virtues of skilful meandering.' </w:t>
      </w:r>
      <w:r w:rsidRPr="00D23B8F">
        <w:rPr>
          <w:rFonts w:asciiTheme="minorHAnsi" w:hAnsiTheme="minorHAnsi" w:cstheme="minorHAnsi"/>
          <w:i/>
        </w:rPr>
        <w:t>Journal of the American Planning Association</w:t>
      </w:r>
      <w:r w:rsidRPr="00663828">
        <w:rPr>
          <w:rFonts w:asciiTheme="minorHAnsi" w:hAnsiTheme="minorHAnsi" w:cstheme="minorHAnsi"/>
        </w:rPr>
        <w:t xml:space="preserve"> 66(4): 367-383</w:t>
      </w:r>
      <w:r w:rsidR="00A330DF">
        <w:rPr>
          <w:rFonts w:asciiTheme="minorHAnsi" w:hAnsiTheme="minorHAnsi" w:cstheme="minorHAnsi"/>
        </w:rPr>
        <w:t>.</w:t>
      </w:r>
    </w:p>
    <w:p w14:paraId="0D195A8F" w14:textId="77777777" w:rsidR="00F352DB" w:rsidRDefault="00F352DB" w:rsidP="004B7260">
      <w:pPr>
        <w:pStyle w:val="EndNoteBibliography"/>
        <w:spacing w:before="60" w:after="0"/>
        <w:ind w:left="720" w:hanging="720"/>
        <w:rPr>
          <w:rFonts w:asciiTheme="minorHAnsi" w:hAnsiTheme="minorHAnsi" w:cstheme="minorHAnsi"/>
        </w:rPr>
      </w:pPr>
      <w:bookmarkStart w:id="35" w:name="_ENREF_55"/>
      <w:r w:rsidRPr="00F352DB">
        <w:rPr>
          <w:rFonts w:asciiTheme="minorHAnsi" w:hAnsiTheme="minorHAnsi" w:cstheme="minorHAnsi"/>
        </w:rPr>
        <w:t xml:space="preserve">Throgmorton, James A. (1991). 'The rhetorics of policy analysis.' </w:t>
      </w:r>
      <w:r w:rsidRPr="00D23B8F">
        <w:rPr>
          <w:rFonts w:asciiTheme="minorHAnsi" w:hAnsiTheme="minorHAnsi" w:cstheme="minorHAnsi"/>
          <w:i/>
        </w:rPr>
        <w:t>Policy Sciences</w:t>
      </w:r>
      <w:r w:rsidRPr="00F352DB">
        <w:rPr>
          <w:rFonts w:asciiTheme="minorHAnsi" w:hAnsiTheme="minorHAnsi" w:cstheme="minorHAnsi"/>
        </w:rPr>
        <w:t xml:space="preserve"> 24: 153-179.</w:t>
      </w:r>
      <w:bookmarkStart w:id="36" w:name="_ENREF_57"/>
      <w:bookmarkEnd w:id="35"/>
    </w:p>
    <w:p w14:paraId="20B3D0E1" w14:textId="77777777" w:rsidR="00F352DB" w:rsidRDefault="00F352DB" w:rsidP="004B7260">
      <w:pPr>
        <w:pStyle w:val="EndNoteBibliography"/>
        <w:spacing w:before="60" w:after="0"/>
        <w:ind w:left="720" w:hanging="720"/>
        <w:rPr>
          <w:rFonts w:asciiTheme="minorHAnsi" w:hAnsiTheme="minorHAnsi" w:cstheme="minorHAnsi"/>
        </w:rPr>
      </w:pPr>
      <w:r w:rsidRPr="00F352DB">
        <w:rPr>
          <w:rFonts w:asciiTheme="minorHAnsi" w:hAnsiTheme="minorHAnsi" w:cstheme="minorHAnsi"/>
        </w:rPr>
        <w:t xml:space="preserve">Trewin, Dennis (2002). 'The importance of a quality culture.' </w:t>
      </w:r>
      <w:r w:rsidRPr="00D23B8F">
        <w:rPr>
          <w:rFonts w:asciiTheme="minorHAnsi" w:hAnsiTheme="minorHAnsi" w:cstheme="minorHAnsi"/>
          <w:i/>
        </w:rPr>
        <w:t>Survey Methodology</w:t>
      </w:r>
      <w:r w:rsidRPr="00F352DB">
        <w:rPr>
          <w:rFonts w:asciiTheme="minorHAnsi" w:hAnsiTheme="minorHAnsi" w:cstheme="minorHAnsi"/>
        </w:rPr>
        <w:t xml:space="preserve"> 28(2): 125-133.</w:t>
      </w:r>
      <w:bookmarkStart w:id="37" w:name="_ENREF_59"/>
      <w:bookmarkEnd w:id="36"/>
    </w:p>
    <w:p w14:paraId="2D6112AB" w14:textId="687BC59D" w:rsidR="004A0E50" w:rsidRPr="004A0E50" w:rsidRDefault="004A0E50" w:rsidP="004B7260">
      <w:pPr>
        <w:pStyle w:val="EndNoteBibliography"/>
        <w:spacing w:before="60" w:after="0"/>
        <w:ind w:left="720" w:hanging="720"/>
        <w:rPr>
          <w:rFonts w:asciiTheme="minorHAnsi" w:hAnsiTheme="minorHAnsi" w:cstheme="minorHAnsi"/>
        </w:rPr>
      </w:pPr>
      <w:r>
        <w:rPr>
          <w:rFonts w:asciiTheme="minorHAnsi" w:hAnsiTheme="minorHAnsi" w:cstheme="minorHAnsi"/>
        </w:rPr>
        <w:t xml:space="preserve">Walter, Maggie and Andersen, Chris (2013). </w:t>
      </w:r>
      <w:r>
        <w:rPr>
          <w:rFonts w:asciiTheme="minorHAnsi" w:hAnsiTheme="minorHAnsi" w:cstheme="minorHAnsi"/>
          <w:i/>
        </w:rPr>
        <w:t xml:space="preserve">Indigenous </w:t>
      </w:r>
      <w:r w:rsidR="00F5491C">
        <w:rPr>
          <w:rFonts w:asciiTheme="minorHAnsi" w:hAnsiTheme="minorHAnsi" w:cstheme="minorHAnsi"/>
          <w:i/>
        </w:rPr>
        <w:t>s</w:t>
      </w:r>
      <w:r>
        <w:rPr>
          <w:rFonts w:asciiTheme="minorHAnsi" w:hAnsiTheme="minorHAnsi" w:cstheme="minorHAnsi"/>
          <w:i/>
        </w:rPr>
        <w:t>tatistics: A quantitative research methodology</w:t>
      </w:r>
      <w:r>
        <w:rPr>
          <w:rFonts w:asciiTheme="minorHAnsi" w:hAnsiTheme="minorHAnsi" w:cstheme="minorHAnsi"/>
        </w:rPr>
        <w:t>. Left Coast Press, Walnut Creek, CA.</w:t>
      </w:r>
    </w:p>
    <w:p w14:paraId="0015F62D" w14:textId="77777777" w:rsidR="00156D2D" w:rsidRDefault="00693D20" w:rsidP="004B7260">
      <w:pPr>
        <w:pStyle w:val="EndNoteBibliography"/>
        <w:spacing w:before="60" w:after="0"/>
        <w:ind w:left="720" w:hanging="720"/>
        <w:rPr>
          <w:rFonts w:asciiTheme="minorHAnsi" w:hAnsiTheme="minorHAnsi" w:cstheme="minorHAnsi"/>
        </w:rPr>
      </w:pPr>
      <w:r w:rsidRPr="00693D20">
        <w:rPr>
          <w:rFonts w:asciiTheme="minorHAnsi" w:hAnsiTheme="minorHAnsi" w:cstheme="minorHAnsi"/>
        </w:rPr>
        <w:t xml:space="preserve">Walter, Maggie (2010). 'The politics of the data: How the Australian statistical Indigene is constructed.' </w:t>
      </w:r>
      <w:r w:rsidRPr="00156D2D">
        <w:rPr>
          <w:rFonts w:cstheme="minorHAnsi"/>
          <w:i/>
        </w:rPr>
        <w:t>International Journal of Critical Indigenous</w:t>
      </w:r>
      <w:r w:rsidRPr="00693D20">
        <w:rPr>
          <w:rFonts w:asciiTheme="minorHAnsi" w:hAnsiTheme="minorHAnsi" w:cstheme="minorHAnsi"/>
        </w:rPr>
        <w:t xml:space="preserve"> </w:t>
      </w:r>
      <w:r w:rsidRPr="00D23B8F">
        <w:rPr>
          <w:rFonts w:asciiTheme="minorHAnsi" w:hAnsiTheme="minorHAnsi" w:cstheme="minorHAnsi"/>
          <w:i/>
        </w:rPr>
        <w:t xml:space="preserve">Studies </w:t>
      </w:r>
      <w:r w:rsidRPr="00693D20">
        <w:rPr>
          <w:rFonts w:asciiTheme="minorHAnsi" w:hAnsiTheme="minorHAnsi" w:cstheme="minorHAnsi"/>
        </w:rPr>
        <w:t>3(2): 45-56.</w:t>
      </w:r>
      <w:bookmarkStart w:id="38" w:name="_ENREF_61"/>
      <w:bookmarkEnd w:id="37"/>
    </w:p>
    <w:p w14:paraId="6591DDD5" w14:textId="77777777" w:rsidR="004B7260" w:rsidRPr="00D23B8F" w:rsidRDefault="00F352DB" w:rsidP="004B7260">
      <w:pPr>
        <w:pStyle w:val="EndNoteBibliography"/>
        <w:spacing w:before="60" w:after="0"/>
        <w:ind w:left="720" w:hanging="720"/>
        <w:rPr>
          <w:rFonts w:asciiTheme="minorHAnsi" w:hAnsiTheme="minorHAnsi" w:cstheme="minorHAnsi"/>
        </w:rPr>
      </w:pPr>
      <w:r w:rsidRPr="00F352DB">
        <w:rPr>
          <w:rFonts w:asciiTheme="minorHAnsi" w:hAnsiTheme="minorHAnsi" w:cstheme="minorHAnsi"/>
        </w:rPr>
        <w:t xml:space="preserve">Wijesekere, Gaminiratne (2008). 'Indigenous population data for evaluation and performance measurement: A cautionary note.' </w:t>
      </w:r>
      <w:r w:rsidRPr="00F352DB">
        <w:rPr>
          <w:rFonts w:asciiTheme="minorHAnsi" w:hAnsiTheme="minorHAnsi" w:cstheme="minorHAnsi"/>
          <w:i/>
        </w:rPr>
        <w:t>Australian Aboriginal Studies</w:t>
      </w:r>
      <w:r>
        <w:rPr>
          <w:rFonts w:asciiTheme="minorHAnsi" w:hAnsiTheme="minorHAnsi" w:cstheme="minorHAnsi"/>
        </w:rPr>
        <w:t xml:space="preserve"> </w:t>
      </w:r>
      <w:r w:rsidRPr="00F352DB">
        <w:rPr>
          <w:rFonts w:asciiTheme="minorHAnsi" w:hAnsiTheme="minorHAnsi" w:cstheme="minorHAnsi"/>
        </w:rPr>
        <w:t>(2): 32-42.</w:t>
      </w:r>
      <w:bookmarkEnd w:id="38"/>
    </w:p>
    <w:p w14:paraId="27F82B25" w14:textId="77777777" w:rsidR="004B7260" w:rsidRPr="00156D2D" w:rsidRDefault="00F44D62" w:rsidP="004B7260">
      <w:pPr>
        <w:pStyle w:val="EndNoteBibliography"/>
        <w:spacing w:before="60" w:after="0"/>
        <w:ind w:left="720" w:hanging="720"/>
        <w:rPr>
          <w:rFonts w:asciiTheme="minorHAnsi" w:hAnsiTheme="minorHAnsi" w:cstheme="minorHAnsi"/>
        </w:rPr>
      </w:pPr>
      <w:bookmarkStart w:id="39" w:name="_ENREF_62"/>
      <w:r w:rsidRPr="00F44D62">
        <w:rPr>
          <w:rFonts w:asciiTheme="minorHAnsi" w:hAnsiTheme="minorHAnsi" w:cstheme="minorHAnsi"/>
        </w:rPr>
        <w:lastRenderedPageBreak/>
        <w:t>Wilks, J</w:t>
      </w:r>
      <w:r w:rsidR="00A621E6">
        <w:rPr>
          <w:rFonts w:asciiTheme="minorHAnsi" w:hAnsiTheme="minorHAnsi" w:cstheme="minorHAnsi"/>
        </w:rPr>
        <w:t>udith and Katie Wilson (2015). ‘</w:t>
      </w:r>
      <w:r w:rsidRPr="00F44D62">
        <w:rPr>
          <w:rFonts w:asciiTheme="minorHAnsi" w:hAnsiTheme="minorHAnsi" w:cstheme="minorHAnsi"/>
        </w:rPr>
        <w:t>Indigenous Australia: A profile of the Aboriginal and Torres Strait Islander highe</w:t>
      </w:r>
      <w:r w:rsidR="00A621E6">
        <w:rPr>
          <w:rFonts w:asciiTheme="minorHAnsi" w:hAnsiTheme="minorHAnsi" w:cstheme="minorHAnsi"/>
        </w:rPr>
        <w:t>r education student population.’</w:t>
      </w:r>
      <w:r w:rsidRPr="00F44D62">
        <w:rPr>
          <w:rFonts w:asciiTheme="minorHAnsi" w:hAnsiTheme="minorHAnsi" w:cstheme="minorHAnsi"/>
        </w:rPr>
        <w:t xml:space="preserve"> </w:t>
      </w:r>
      <w:r w:rsidRPr="00156D2D">
        <w:rPr>
          <w:rFonts w:asciiTheme="minorHAnsi" w:hAnsiTheme="minorHAnsi" w:cstheme="minorHAnsi"/>
          <w:i/>
        </w:rPr>
        <w:t>Australian Universities Review</w:t>
      </w:r>
      <w:r w:rsidRPr="00F44D62">
        <w:rPr>
          <w:rFonts w:asciiTheme="minorHAnsi" w:hAnsiTheme="minorHAnsi" w:cstheme="minorHAnsi"/>
        </w:rPr>
        <w:t xml:space="preserve"> 57(2): 17-30.</w:t>
      </w:r>
    </w:p>
    <w:p w14:paraId="769BE7BB" w14:textId="2390A43C" w:rsidR="004B7260" w:rsidRPr="00D23B8F" w:rsidRDefault="004B7260" w:rsidP="004B7260">
      <w:pPr>
        <w:pStyle w:val="EndNoteBibliography"/>
        <w:spacing w:before="60" w:after="0"/>
        <w:ind w:left="720" w:hanging="720"/>
        <w:rPr>
          <w:rFonts w:asciiTheme="minorHAnsi" w:hAnsiTheme="minorHAnsi" w:cstheme="minorHAnsi"/>
        </w:rPr>
      </w:pPr>
      <w:r w:rsidRPr="00D23B8F">
        <w:rPr>
          <w:rFonts w:asciiTheme="minorHAnsi" w:hAnsiTheme="minorHAnsi" w:cstheme="minorHAnsi"/>
        </w:rPr>
        <w:t>Willems, J</w:t>
      </w:r>
      <w:r w:rsidR="00F352DB">
        <w:rPr>
          <w:rFonts w:asciiTheme="minorHAnsi" w:hAnsiTheme="minorHAnsi" w:cstheme="minorHAnsi"/>
        </w:rPr>
        <w:t>ulie</w:t>
      </w:r>
      <w:r w:rsidRPr="00D23B8F">
        <w:rPr>
          <w:rFonts w:asciiTheme="minorHAnsi" w:hAnsiTheme="minorHAnsi" w:cstheme="minorHAnsi"/>
        </w:rPr>
        <w:t xml:space="preserve"> (2012). </w:t>
      </w:r>
      <w:r w:rsidR="00F352DB">
        <w:rPr>
          <w:rFonts w:asciiTheme="minorHAnsi" w:hAnsiTheme="minorHAnsi" w:cstheme="minorHAnsi"/>
        </w:rPr>
        <w:t>‘</w:t>
      </w:r>
      <w:r w:rsidRPr="00D23B8F">
        <w:rPr>
          <w:rFonts w:asciiTheme="minorHAnsi" w:hAnsiTheme="minorHAnsi" w:cstheme="minorHAnsi"/>
        </w:rPr>
        <w:t>Educational resilience as a quadripartite responsibility: Indigenous peoples participating in higher education via distance education.</w:t>
      </w:r>
      <w:r w:rsidR="00F352DB">
        <w:rPr>
          <w:rFonts w:asciiTheme="minorHAnsi" w:hAnsiTheme="minorHAnsi" w:cstheme="minorHAnsi"/>
        </w:rPr>
        <w:t>’</w:t>
      </w:r>
      <w:r w:rsidRPr="00D23B8F">
        <w:rPr>
          <w:rFonts w:asciiTheme="minorHAnsi" w:hAnsiTheme="minorHAnsi" w:cstheme="minorHAnsi"/>
        </w:rPr>
        <w:t xml:space="preserve"> </w:t>
      </w:r>
      <w:r w:rsidRPr="00D23B8F">
        <w:rPr>
          <w:rFonts w:asciiTheme="minorHAnsi" w:hAnsiTheme="minorHAnsi" w:cstheme="minorHAnsi"/>
          <w:i/>
        </w:rPr>
        <w:t>Journal of Open, Flexible and Distance Learning,</w:t>
      </w:r>
      <w:r w:rsidRPr="00D23B8F">
        <w:rPr>
          <w:rFonts w:asciiTheme="minorHAnsi" w:hAnsiTheme="minorHAnsi" w:cstheme="minorHAnsi"/>
        </w:rPr>
        <w:t xml:space="preserve"> 16(1)</w:t>
      </w:r>
      <w:r w:rsidR="00F352DB">
        <w:rPr>
          <w:rFonts w:asciiTheme="minorHAnsi" w:hAnsiTheme="minorHAnsi" w:cstheme="minorHAnsi"/>
        </w:rPr>
        <w:t>:</w:t>
      </w:r>
      <w:r w:rsidRPr="00F352DB">
        <w:rPr>
          <w:rFonts w:asciiTheme="minorHAnsi" w:hAnsiTheme="minorHAnsi" w:cstheme="minorHAnsi"/>
        </w:rPr>
        <w:t xml:space="preserve"> </w:t>
      </w:r>
      <w:r w:rsidRPr="00D23B8F">
        <w:rPr>
          <w:rFonts w:asciiTheme="minorHAnsi" w:hAnsiTheme="minorHAnsi" w:cstheme="minorHAnsi"/>
        </w:rPr>
        <w:t>14-27.</w:t>
      </w:r>
    </w:p>
    <w:p w14:paraId="5615E11A" w14:textId="77777777" w:rsidR="00F352DB" w:rsidRDefault="00F352DB" w:rsidP="00B8227B">
      <w:pPr>
        <w:pStyle w:val="EndNoteBibliography"/>
        <w:spacing w:before="60" w:after="0"/>
        <w:ind w:left="720" w:hanging="720"/>
        <w:rPr>
          <w:rFonts w:asciiTheme="minorHAnsi" w:hAnsiTheme="minorHAnsi" w:cstheme="minorHAnsi"/>
        </w:rPr>
      </w:pPr>
      <w:r w:rsidRPr="00F352DB">
        <w:rPr>
          <w:rFonts w:asciiTheme="minorHAnsi" w:hAnsiTheme="minorHAnsi" w:cstheme="minorHAnsi"/>
        </w:rPr>
        <w:t xml:space="preserve">Wilson, Tom and Tony Barnes (2007). 'Continuing challenges in attempting to measure the size, and changing size, of Australia's Indigenous population.' </w:t>
      </w:r>
      <w:r w:rsidRPr="00F352DB">
        <w:rPr>
          <w:rFonts w:asciiTheme="minorHAnsi" w:hAnsiTheme="minorHAnsi" w:cstheme="minorHAnsi"/>
          <w:i/>
        </w:rPr>
        <w:t>People and Place</w:t>
      </w:r>
      <w:r w:rsidRPr="00F352DB">
        <w:rPr>
          <w:rFonts w:asciiTheme="minorHAnsi" w:hAnsiTheme="minorHAnsi" w:cstheme="minorHAnsi"/>
        </w:rPr>
        <w:t xml:space="preserve"> 15(3): 12-21.</w:t>
      </w:r>
      <w:bookmarkEnd w:id="39"/>
    </w:p>
    <w:p w14:paraId="20697924" w14:textId="77777777" w:rsidR="00556051" w:rsidRPr="00F352DB" w:rsidRDefault="00F352DB" w:rsidP="00B8227B">
      <w:pPr>
        <w:pStyle w:val="EndNoteBibliography"/>
        <w:spacing w:before="60" w:after="0"/>
        <w:ind w:left="720" w:hanging="720"/>
        <w:rPr>
          <w:rFonts w:asciiTheme="minorHAnsi" w:hAnsiTheme="minorHAnsi" w:cstheme="minorHAnsi"/>
        </w:rPr>
      </w:pPr>
      <w:r w:rsidRPr="00F352DB">
        <w:rPr>
          <w:rFonts w:asciiTheme="minorHAnsi" w:hAnsiTheme="minorHAnsi" w:cstheme="minorHAnsi"/>
        </w:rPr>
        <w:t>Zarcadoolas, C., A. Pleasant and D S Greer (2003). 'Elaborating a definition of health literacy: A commentary.' Journal of Health Communication 8: 119-120.</w:t>
      </w:r>
      <w:r w:rsidR="004B7260" w:rsidRPr="00F352DB">
        <w:rPr>
          <w:rFonts w:asciiTheme="minorHAnsi" w:hAnsiTheme="minorHAnsi" w:cstheme="minorHAnsi"/>
        </w:rPr>
        <w:t>.</w:t>
      </w:r>
    </w:p>
    <w:sectPr w:rsidR="00556051" w:rsidRPr="00F352DB" w:rsidSect="006D7AE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E0F9" w14:textId="77777777" w:rsidR="00F315A0" w:rsidRDefault="00F315A0" w:rsidP="00D74857">
      <w:pPr>
        <w:spacing w:after="0" w:line="240" w:lineRule="auto"/>
      </w:pPr>
      <w:r>
        <w:separator/>
      </w:r>
    </w:p>
    <w:p w14:paraId="22E7A187" w14:textId="77777777" w:rsidR="00F315A0" w:rsidRDefault="00F315A0"/>
  </w:endnote>
  <w:endnote w:type="continuationSeparator" w:id="0">
    <w:p w14:paraId="62B278A6" w14:textId="77777777" w:rsidR="00F315A0" w:rsidRDefault="00F315A0" w:rsidP="00D74857">
      <w:pPr>
        <w:spacing w:after="0" w:line="240" w:lineRule="auto"/>
      </w:pPr>
      <w:r>
        <w:continuationSeparator/>
      </w:r>
    </w:p>
    <w:p w14:paraId="73CB6DF0" w14:textId="77777777" w:rsidR="00F315A0" w:rsidRDefault="00F31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dvTTec369687">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482B" w14:textId="77777777" w:rsidR="002E6747" w:rsidRDefault="002E6747" w:rsidP="00290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2D1">
      <w:rPr>
        <w:rStyle w:val="PageNumber"/>
        <w:noProof/>
      </w:rPr>
      <w:t>4</w:t>
    </w:r>
    <w:r>
      <w:rPr>
        <w:rStyle w:val="PageNumber"/>
      </w:rPr>
      <w:fldChar w:fldCharType="end"/>
    </w:r>
  </w:p>
  <w:p w14:paraId="2E0669B9" w14:textId="77777777" w:rsidR="002E6747" w:rsidRDefault="002E6747" w:rsidP="00205B16">
    <w:pPr>
      <w:spacing w:after="0" w:line="360" w:lineRule="auto"/>
      <w:rPr>
        <w:rFonts w:ascii="Times New Roman" w:hAnsi="Times New Roman" w:cs="Times New Roman"/>
        <w:b/>
        <w:sz w:val="16"/>
        <w:szCs w:val="16"/>
      </w:rPr>
    </w:pPr>
  </w:p>
  <w:p w14:paraId="4712985A" w14:textId="77777777" w:rsidR="002E6747" w:rsidRPr="008C3B78" w:rsidRDefault="002E6747" w:rsidP="006831FF">
    <w:pPr>
      <w:pStyle w:val="BodyA"/>
      <w:tabs>
        <w:tab w:val="right" w:pos="9026"/>
      </w:tabs>
      <w:spacing w:after="0" w:line="240" w:lineRule="auto"/>
      <w:rPr>
        <w:rFonts w:ascii="Trebuchet MS" w:hAnsi="Trebuchet MS"/>
      </w:rPr>
    </w:pPr>
    <w:r w:rsidRPr="008C3B78">
      <w:rPr>
        <w:rFonts w:ascii="Trebuchet MS" w:hAnsi="Trebuchet MS"/>
        <w:b/>
        <w:bCs/>
        <w:sz w:val="16"/>
        <w:szCs w:val="16"/>
      </w:rPr>
      <w:tab/>
      <w:t xml:space="preserve"> </w:t>
    </w:r>
  </w:p>
  <w:p w14:paraId="2F6B8CBD" w14:textId="77777777" w:rsidR="002E6747" w:rsidRDefault="002E6747">
    <w:pPr>
      <w:pStyle w:val="Footer"/>
    </w:pPr>
  </w:p>
  <w:p w14:paraId="4C02F28B" w14:textId="77777777" w:rsidR="002E6747" w:rsidRDefault="002E6747" w:rsidP="00F2359D">
    <w:pPr>
      <w:tabs>
        <w:tab w:val="left" w:pos="11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60DD0" w14:textId="77777777" w:rsidR="00F315A0" w:rsidRDefault="00F315A0" w:rsidP="00D74857">
      <w:pPr>
        <w:spacing w:after="0" w:line="240" w:lineRule="auto"/>
      </w:pPr>
      <w:r>
        <w:separator/>
      </w:r>
    </w:p>
    <w:p w14:paraId="5EACC6B8" w14:textId="77777777" w:rsidR="00F315A0" w:rsidRDefault="00F315A0"/>
  </w:footnote>
  <w:footnote w:type="continuationSeparator" w:id="0">
    <w:p w14:paraId="1669009D" w14:textId="77777777" w:rsidR="00F315A0" w:rsidRDefault="00F315A0" w:rsidP="00D74857">
      <w:pPr>
        <w:spacing w:after="0" w:line="240" w:lineRule="auto"/>
      </w:pPr>
      <w:r>
        <w:continuationSeparator/>
      </w:r>
    </w:p>
    <w:p w14:paraId="5549321E" w14:textId="77777777" w:rsidR="00F315A0" w:rsidRDefault="00F315A0"/>
  </w:footnote>
  <w:footnote w:id="1">
    <w:p w14:paraId="396B4938" w14:textId="77777777" w:rsidR="002E6747" w:rsidRPr="00B7088C" w:rsidRDefault="002E6747">
      <w:pPr>
        <w:pStyle w:val="FootnoteText"/>
        <w:rPr>
          <w:lang w:val="en-AU"/>
        </w:rPr>
      </w:pPr>
      <w:r>
        <w:rPr>
          <w:rStyle w:val="FootnoteReference"/>
        </w:rPr>
        <w:footnoteRef/>
      </w:r>
      <w:r>
        <w:t xml:space="preserve"> </w:t>
      </w:r>
      <w:r>
        <w:rPr>
          <w:lang w:val="en-AU"/>
        </w:rPr>
        <w:t xml:space="preserve">In this paper we use the terms Indigenous and Aboriginal and Torres Strait Islander interchangeably.  We recognise, and in fact name this as a data quality issue in the paper.  However, in the absence of evidence to support the change of nomenclature in sources we cite we are ethically bound to use the terminology from the source reports. This is a rather ironic example of the need for data quality issues to be addressed systematically.  </w:t>
      </w:r>
    </w:p>
  </w:footnote>
  <w:footnote w:id="2">
    <w:p w14:paraId="63E4BA90" w14:textId="77777777" w:rsidR="002E6747" w:rsidRPr="001B66EB" w:rsidRDefault="002E6747">
      <w:pPr>
        <w:pStyle w:val="FootnoteText"/>
        <w:rPr>
          <w:rFonts w:ascii="Calibri" w:hAnsi="Calibri"/>
        </w:rPr>
      </w:pPr>
      <w:r>
        <w:rPr>
          <w:rStyle w:val="FootnoteReference"/>
        </w:rPr>
        <w:footnoteRef/>
      </w:r>
      <w:r>
        <w:t xml:space="preserve"> </w:t>
      </w:r>
      <w:r w:rsidRPr="001B66EB">
        <w:rPr>
          <w:rFonts w:ascii="Calibri" w:hAnsi="Calibri"/>
        </w:rPr>
        <w:t>Attributed to Disraeli by Mark Twain but not verified in any of Disraeli’s writing thus often attributed to Twain.</w:t>
      </w:r>
    </w:p>
  </w:footnote>
  <w:footnote w:id="3">
    <w:p w14:paraId="58D6229E" w14:textId="77777777" w:rsidR="002E6747" w:rsidRPr="00C80B21" w:rsidRDefault="002E6747">
      <w:pPr>
        <w:pStyle w:val="FootnoteText"/>
        <w:rPr>
          <w:lang w:val="en-AU"/>
        </w:rPr>
      </w:pPr>
      <w:r>
        <w:rPr>
          <w:rStyle w:val="FootnoteReference"/>
        </w:rPr>
        <w:footnoteRef/>
      </w:r>
      <w:r>
        <w:t xml:space="preserve"> </w:t>
      </w:r>
      <w:r>
        <w:rPr>
          <w:lang w:val="en-AU"/>
        </w:rPr>
        <w:t>The project received ethic approval from the University of Notre Dame Australia Human Research Ethics Committee on the 1</w:t>
      </w:r>
      <w:r w:rsidRPr="00C80B21">
        <w:rPr>
          <w:vertAlign w:val="superscript"/>
          <w:lang w:val="en-AU"/>
        </w:rPr>
        <w:t>st</w:t>
      </w:r>
      <w:r>
        <w:rPr>
          <w:lang w:val="en-AU"/>
        </w:rPr>
        <w:t xml:space="preserve"> August 2013. Reference Number 013105F</w:t>
      </w:r>
    </w:p>
  </w:footnote>
  <w:footnote w:id="4">
    <w:p w14:paraId="29FAEE5A" w14:textId="77777777" w:rsidR="002E6747" w:rsidRPr="00923E85" w:rsidRDefault="002E6747" w:rsidP="00BC620F">
      <w:pPr>
        <w:pStyle w:val="FootnoteText"/>
        <w:rPr>
          <w:rFonts w:ascii="Times New Roman" w:hAnsi="Times New Roman" w:cs="Times New Roman"/>
        </w:rPr>
      </w:pPr>
      <w:r>
        <w:rPr>
          <w:rStyle w:val="FootnoteReference"/>
        </w:rPr>
        <w:footnoteRef/>
      </w:r>
      <w:r>
        <w:t xml:space="preserve"> </w:t>
      </w:r>
      <w:r w:rsidRPr="00923E85">
        <w:rPr>
          <w:rStyle w:val="FootnoteTextChar"/>
          <w:rFonts w:ascii="Times New Roman" w:hAnsi="Times New Roman" w:cs="Times New Roman"/>
        </w:rPr>
        <w:t>A key distinction exists between data and statistics. For example, Schield (2004) defines this difference as statistics summarising data, with the statistical summaries influenced by the contextual collection, selection and manipulation of data to output for specific reasons.</w:t>
      </w:r>
      <w:r w:rsidRPr="00923E85">
        <w:rPr>
          <w:rFonts w:ascii="Times New Roman" w:hAnsi="Times New Roman" w:cs="Times New Roman"/>
          <w:sz w:val="16"/>
        </w:rPr>
        <w:t xml:space="preserve"> </w:t>
      </w:r>
    </w:p>
  </w:footnote>
  <w:footnote w:id="5">
    <w:p w14:paraId="1A96BC34" w14:textId="77777777" w:rsidR="002E6747" w:rsidRPr="00024930" w:rsidRDefault="002E6747">
      <w:pPr>
        <w:pStyle w:val="FootnoteText"/>
        <w:rPr>
          <w:lang w:val="en-AU"/>
        </w:rPr>
      </w:pPr>
      <w:r w:rsidRPr="0057331A">
        <w:rPr>
          <w:rStyle w:val="FootnoteReference"/>
          <w:rFonts w:cs="Times New Roman"/>
        </w:rPr>
        <w:footnoteRef/>
      </w:r>
      <w:r w:rsidRPr="00923E85">
        <w:rPr>
          <w:rFonts w:ascii="Times New Roman" w:hAnsi="Times New Roman" w:cs="Times New Roman"/>
        </w:rPr>
        <w:t xml:space="preserve"> </w:t>
      </w:r>
      <w:r w:rsidRPr="00923E85">
        <w:rPr>
          <w:rStyle w:val="FootnoteTextChar"/>
          <w:rFonts w:ascii="Times New Roman" w:hAnsi="Times New Roman" w:cs="Times New Roman"/>
        </w:rPr>
        <w:t>In this review we acknowledge that we are often conflating data with statistics; however</w:t>
      </w:r>
      <w:r w:rsidR="0057331A">
        <w:rPr>
          <w:rStyle w:val="FootnoteTextChar"/>
          <w:rFonts w:ascii="Times New Roman" w:hAnsi="Times New Roman" w:cs="Times New Roman"/>
        </w:rPr>
        <w:t>,</w:t>
      </w:r>
      <w:r w:rsidRPr="00923E85">
        <w:rPr>
          <w:rStyle w:val="FootnoteTextChar"/>
          <w:rFonts w:ascii="Times New Roman" w:hAnsi="Times New Roman" w:cs="Times New Roman"/>
        </w:rPr>
        <w:t xml:space="preserve"> there is an indivisibility of data and statistics when it comes to articulating the issues.</w:t>
      </w:r>
    </w:p>
  </w:footnote>
  <w:footnote w:id="6">
    <w:p w14:paraId="23BED1A3" w14:textId="77777777" w:rsidR="002E6747" w:rsidRPr="00044ACA" w:rsidRDefault="002E6747">
      <w:pPr>
        <w:pStyle w:val="FootnoteText"/>
        <w:rPr>
          <w:rFonts w:asciiTheme="minorHAnsi" w:hAnsiTheme="minorHAnsi" w:cstheme="minorHAnsi"/>
        </w:rPr>
      </w:pPr>
      <w:r>
        <w:rPr>
          <w:rStyle w:val="FootnoteReference"/>
        </w:rPr>
        <w:footnoteRef/>
      </w:r>
      <w:r>
        <w:t xml:space="preserve"> </w:t>
      </w:r>
      <w:r w:rsidRPr="00044ACA">
        <w:rPr>
          <w:rFonts w:asciiTheme="minorHAnsi" w:hAnsiTheme="minorHAnsi" w:cstheme="minorHAnsi"/>
        </w:rPr>
        <w:t>Many, if not all the issues discussed, have been identified in other sectors such as health. Some have been explicitly identified within the Higher Education sector directly while others impact collaterally as sources of data that inform Higher Education statistics. In order to present as comprehensive a picture as possible, all are discussed in this section. Clearly though, the locus of responsibility for their resolution will be shared across jurisdictions.</w:t>
      </w:r>
    </w:p>
  </w:footnote>
  <w:footnote w:id="7">
    <w:p w14:paraId="6A7D1D46" w14:textId="77777777" w:rsidR="002E6747" w:rsidRPr="00044ACA" w:rsidRDefault="002E6747" w:rsidP="004C6574">
      <w:pPr>
        <w:pStyle w:val="FootnoteText"/>
        <w:rPr>
          <w:rFonts w:asciiTheme="minorHAnsi" w:hAnsiTheme="minorHAnsi" w:cstheme="minorHAnsi"/>
        </w:rPr>
      </w:pPr>
      <w:r w:rsidRPr="00044ACA">
        <w:rPr>
          <w:rStyle w:val="FootnoteReference"/>
          <w:rFonts w:asciiTheme="minorHAnsi" w:hAnsiTheme="minorHAnsi" w:cstheme="minorHAnsi"/>
        </w:rPr>
        <w:footnoteRef/>
      </w:r>
      <w:r w:rsidRPr="00044ACA">
        <w:rPr>
          <w:rFonts w:asciiTheme="minorHAnsi" w:hAnsiTheme="minorHAnsi" w:cstheme="minorHAnsi"/>
        </w:rPr>
        <w:t xml:space="preserve"> The issues are artificially disaggregated for the purposes of clarity and analysis.  They are clearly interrelated in a complex web of (mis)understanding.</w:t>
      </w:r>
    </w:p>
    <w:p w14:paraId="5CD8F612" w14:textId="77777777" w:rsidR="002E6747" w:rsidRPr="004C6574" w:rsidRDefault="002E6747">
      <w:pPr>
        <w:pStyle w:val="FootnoteText"/>
        <w:rPr>
          <w:lang w:val="en-AU"/>
        </w:rPr>
      </w:pPr>
    </w:p>
  </w:footnote>
  <w:footnote w:id="8">
    <w:p w14:paraId="0A65031C" w14:textId="77777777" w:rsidR="002E6747" w:rsidRPr="004C6574" w:rsidRDefault="002E6747">
      <w:pPr>
        <w:pStyle w:val="FootnoteText"/>
        <w:rPr>
          <w:lang w:val="en-AU"/>
        </w:rPr>
      </w:pPr>
      <w:r>
        <w:rPr>
          <w:rStyle w:val="FootnoteReference"/>
        </w:rPr>
        <w:footnoteRef/>
      </w:r>
      <w:r>
        <w:t xml:space="preserve"> </w:t>
      </w:r>
      <w:r w:rsidRPr="00044ACA">
        <w:rPr>
          <w:rFonts w:asciiTheme="minorHAnsi" w:hAnsiTheme="minorHAnsi" w:cstheme="minorHAnsi"/>
          <w:lang w:val="en-AU"/>
        </w:rPr>
        <w:t>See earlier footnote regarding use of nomenclature in this paper.</w:t>
      </w:r>
      <w:r>
        <w:rPr>
          <w:lang w:val="en-A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80E"/>
    <w:multiLevelType w:val="hybridMultilevel"/>
    <w:tmpl w:val="5956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Unicode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Unicode M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Unicode MS"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36AAC"/>
    <w:multiLevelType w:val="multilevel"/>
    <w:tmpl w:val="2D6AA2FC"/>
    <w:styleLink w:val="List18"/>
    <w:lvl w:ilvl="0">
      <w:numFmt w:val="bullet"/>
      <w:lvlText w:val="•"/>
      <w:lvlJc w:val="left"/>
      <w:pPr>
        <w:tabs>
          <w:tab w:val="num" w:pos="1414"/>
        </w:tabs>
        <w:ind w:left="1414" w:hanging="360"/>
      </w:pPr>
      <w:rPr>
        <w:color w:val="000000"/>
        <w:position w:val="0"/>
        <w:sz w:val="22"/>
        <w:szCs w:val="22"/>
        <w:lang w:val="en-US"/>
      </w:rPr>
    </w:lvl>
    <w:lvl w:ilvl="1">
      <w:start w:val="1"/>
      <w:numFmt w:val="bullet"/>
      <w:lvlText w:val="o"/>
      <w:lvlJc w:val="left"/>
      <w:pPr>
        <w:tabs>
          <w:tab w:val="num" w:pos="104"/>
        </w:tabs>
      </w:pPr>
      <w:rPr>
        <w:color w:val="000000"/>
        <w:position w:val="0"/>
        <w:sz w:val="24"/>
        <w:szCs w:val="24"/>
        <w:lang w:val="en-US"/>
      </w:rPr>
    </w:lvl>
    <w:lvl w:ilvl="2">
      <w:start w:val="1"/>
      <w:numFmt w:val="bullet"/>
      <w:lvlText w:val="▪"/>
      <w:lvlJc w:val="left"/>
      <w:pPr>
        <w:tabs>
          <w:tab w:val="num" w:pos="104"/>
        </w:tabs>
      </w:pPr>
      <w:rPr>
        <w:color w:val="000000"/>
        <w:position w:val="0"/>
        <w:sz w:val="24"/>
        <w:szCs w:val="24"/>
        <w:lang w:val="en-US"/>
      </w:rPr>
    </w:lvl>
    <w:lvl w:ilvl="3">
      <w:start w:val="1"/>
      <w:numFmt w:val="bullet"/>
      <w:lvlText w:val="•"/>
      <w:lvlJc w:val="left"/>
      <w:pPr>
        <w:tabs>
          <w:tab w:val="num" w:pos="104"/>
        </w:tabs>
      </w:pPr>
      <w:rPr>
        <w:color w:val="000000"/>
        <w:position w:val="0"/>
        <w:sz w:val="24"/>
        <w:szCs w:val="24"/>
        <w:lang w:val="en-US"/>
      </w:rPr>
    </w:lvl>
    <w:lvl w:ilvl="4">
      <w:start w:val="1"/>
      <w:numFmt w:val="bullet"/>
      <w:lvlText w:val="o"/>
      <w:lvlJc w:val="left"/>
      <w:pPr>
        <w:tabs>
          <w:tab w:val="num" w:pos="104"/>
        </w:tabs>
      </w:pPr>
      <w:rPr>
        <w:color w:val="000000"/>
        <w:position w:val="0"/>
        <w:sz w:val="24"/>
        <w:szCs w:val="24"/>
        <w:lang w:val="en-US"/>
      </w:rPr>
    </w:lvl>
    <w:lvl w:ilvl="5">
      <w:start w:val="1"/>
      <w:numFmt w:val="bullet"/>
      <w:lvlText w:val="▪"/>
      <w:lvlJc w:val="left"/>
      <w:pPr>
        <w:tabs>
          <w:tab w:val="num" w:pos="104"/>
        </w:tabs>
      </w:pPr>
      <w:rPr>
        <w:color w:val="000000"/>
        <w:position w:val="0"/>
        <w:sz w:val="24"/>
        <w:szCs w:val="24"/>
        <w:lang w:val="en-US"/>
      </w:rPr>
    </w:lvl>
    <w:lvl w:ilvl="6">
      <w:start w:val="1"/>
      <w:numFmt w:val="bullet"/>
      <w:lvlText w:val="•"/>
      <w:lvlJc w:val="left"/>
      <w:pPr>
        <w:tabs>
          <w:tab w:val="num" w:pos="104"/>
        </w:tabs>
      </w:pPr>
      <w:rPr>
        <w:color w:val="000000"/>
        <w:position w:val="0"/>
        <w:sz w:val="24"/>
        <w:szCs w:val="24"/>
        <w:lang w:val="en-US"/>
      </w:rPr>
    </w:lvl>
    <w:lvl w:ilvl="7">
      <w:start w:val="1"/>
      <w:numFmt w:val="bullet"/>
      <w:lvlText w:val="o"/>
      <w:lvlJc w:val="left"/>
      <w:pPr>
        <w:tabs>
          <w:tab w:val="num" w:pos="104"/>
        </w:tabs>
      </w:pPr>
      <w:rPr>
        <w:color w:val="000000"/>
        <w:position w:val="0"/>
        <w:sz w:val="24"/>
        <w:szCs w:val="24"/>
        <w:lang w:val="en-US"/>
      </w:rPr>
    </w:lvl>
    <w:lvl w:ilvl="8">
      <w:start w:val="1"/>
      <w:numFmt w:val="bullet"/>
      <w:lvlText w:val="▪"/>
      <w:lvlJc w:val="left"/>
      <w:pPr>
        <w:tabs>
          <w:tab w:val="num" w:pos="104"/>
        </w:tabs>
      </w:pPr>
      <w:rPr>
        <w:color w:val="000000"/>
        <w:position w:val="0"/>
        <w:sz w:val="24"/>
        <w:szCs w:val="24"/>
        <w:lang w:val="en-US"/>
      </w:rPr>
    </w:lvl>
  </w:abstractNum>
  <w:abstractNum w:abstractNumId="2" w15:restartNumberingAfterBreak="0">
    <w:nsid w:val="0DD43D00"/>
    <w:multiLevelType w:val="hybridMultilevel"/>
    <w:tmpl w:val="BACEE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Unicode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Unicode M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Unicode MS"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D723AD"/>
    <w:multiLevelType w:val="hybridMultilevel"/>
    <w:tmpl w:val="F2B46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Unicode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Unicode M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Unicode MS"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E5BA0"/>
    <w:multiLevelType w:val="multilevel"/>
    <w:tmpl w:val="B22CBAF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rFonts w:ascii="Wingdings" w:hAnsi="Wingdings" w:hint="default"/>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15:restartNumberingAfterBreak="0">
    <w:nsid w:val="282B2B70"/>
    <w:multiLevelType w:val="multilevel"/>
    <w:tmpl w:val="5E70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8532D"/>
    <w:multiLevelType w:val="hybridMultilevel"/>
    <w:tmpl w:val="6B6EB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9834A7"/>
    <w:multiLevelType w:val="hybridMultilevel"/>
    <w:tmpl w:val="4ADC3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Unicode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Unicode M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Unicode MS"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E51757"/>
    <w:multiLevelType w:val="multilevel"/>
    <w:tmpl w:val="1D663080"/>
    <w:styleLink w:val="List17"/>
    <w:lvl w:ilvl="0">
      <w:numFmt w:val="bullet"/>
      <w:lvlText w:val="•"/>
      <w:lvlJc w:val="left"/>
      <w:pPr>
        <w:tabs>
          <w:tab w:val="num" w:pos="1414"/>
        </w:tabs>
        <w:ind w:left="1414" w:hanging="360"/>
      </w:pPr>
      <w:rPr>
        <w:color w:val="000000"/>
        <w:position w:val="0"/>
        <w:sz w:val="22"/>
        <w:szCs w:val="22"/>
        <w:lang w:val="en-US"/>
      </w:rPr>
    </w:lvl>
    <w:lvl w:ilvl="1">
      <w:start w:val="1"/>
      <w:numFmt w:val="bullet"/>
      <w:lvlText w:val="o"/>
      <w:lvlJc w:val="left"/>
      <w:pPr>
        <w:tabs>
          <w:tab w:val="num" w:pos="104"/>
        </w:tabs>
      </w:pPr>
      <w:rPr>
        <w:color w:val="000000"/>
        <w:position w:val="0"/>
        <w:sz w:val="24"/>
        <w:szCs w:val="24"/>
        <w:lang w:val="en-US"/>
      </w:rPr>
    </w:lvl>
    <w:lvl w:ilvl="2">
      <w:start w:val="1"/>
      <w:numFmt w:val="bullet"/>
      <w:lvlText w:val="▪"/>
      <w:lvlJc w:val="left"/>
      <w:pPr>
        <w:tabs>
          <w:tab w:val="num" w:pos="104"/>
        </w:tabs>
      </w:pPr>
      <w:rPr>
        <w:color w:val="000000"/>
        <w:position w:val="0"/>
        <w:sz w:val="24"/>
        <w:szCs w:val="24"/>
        <w:lang w:val="en-US"/>
      </w:rPr>
    </w:lvl>
    <w:lvl w:ilvl="3">
      <w:start w:val="1"/>
      <w:numFmt w:val="bullet"/>
      <w:lvlText w:val="•"/>
      <w:lvlJc w:val="left"/>
      <w:pPr>
        <w:tabs>
          <w:tab w:val="num" w:pos="104"/>
        </w:tabs>
      </w:pPr>
      <w:rPr>
        <w:color w:val="000000"/>
        <w:position w:val="0"/>
        <w:sz w:val="24"/>
        <w:szCs w:val="24"/>
        <w:lang w:val="en-US"/>
      </w:rPr>
    </w:lvl>
    <w:lvl w:ilvl="4">
      <w:start w:val="1"/>
      <w:numFmt w:val="bullet"/>
      <w:lvlText w:val="o"/>
      <w:lvlJc w:val="left"/>
      <w:pPr>
        <w:tabs>
          <w:tab w:val="num" w:pos="104"/>
        </w:tabs>
      </w:pPr>
      <w:rPr>
        <w:color w:val="000000"/>
        <w:position w:val="0"/>
        <w:sz w:val="24"/>
        <w:szCs w:val="24"/>
        <w:lang w:val="en-US"/>
      </w:rPr>
    </w:lvl>
    <w:lvl w:ilvl="5">
      <w:start w:val="1"/>
      <w:numFmt w:val="bullet"/>
      <w:lvlText w:val="▪"/>
      <w:lvlJc w:val="left"/>
      <w:pPr>
        <w:tabs>
          <w:tab w:val="num" w:pos="104"/>
        </w:tabs>
      </w:pPr>
      <w:rPr>
        <w:color w:val="000000"/>
        <w:position w:val="0"/>
        <w:sz w:val="24"/>
        <w:szCs w:val="24"/>
        <w:lang w:val="en-US"/>
      </w:rPr>
    </w:lvl>
    <w:lvl w:ilvl="6">
      <w:start w:val="1"/>
      <w:numFmt w:val="bullet"/>
      <w:lvlText w:val="•"/>
      <w:lvlJc w:val="left"/>
      <w:pPr>
        <w:tabs>
          <w:tab w:val="num" w:pos="104"/>
        </w:tabs>
      </w:pPr>
      <w:rPr>
        <w:color w:val="000000"/>
        <w:position w:val="0"/>
        <w:sz w:val="24"/>
        <w:szCs w:val="24"/>
        <w:lang w:val="en-US"/>
      </w:rPr>
    </w:lvl>
    <w:lvl w:ilvl="7">
      <w:start w:val="1"/>
      <w:numFmt w:val="bullet"/>
      <w:lvlText w:val="o"/>
      <w:lvlJc w:val="left"/>
      <w:pPr>
        <w:tabs>
          <w:tab w:val="num" w:pos="104"/>
        </w:tabs>
      </w:pPr>
      <w:rPr>
        <w:color w:val="000000"/>
        <w:position w:val="0"/>
        <w:sz w:val="24"/>
        <w:szCs w:val="24"/>
        <w:lang w:val="en-US"/>
      </w:rPr>
    </w:lvl>
    <w:lvl w:ilvl="8">
      <w:start w:val="1"/>
      <w:numFmt w:val="bullet"/>
      <w:lvlText w:val="▪"/>
      <w:lvlJc w:val="left"/>
      <w:pPr>
        <w:tabs>
          <w:tab w:val="num" w:pos="104"/>
        </w:tabs>
      </w:pPr>
      <w:rPr>
        <w:color w:val="000000"/>
        <w:position w:val="0"/>
        <w:sz w:val="24"/>
        <w:szCs w:val="24"/>
        <w:lang w:val="en-US"/>
      </w:rPr>
    </w:lvl>
  </w:abstractNum>
  <w:abstractNum w:abstractNumId="9" w15:restartNumberingAfterBreak="0">
    <w:nsid w:val="44A07B83"/>
    <w:multiLevelType w:val="hybridMultilevel"/>
    <w:tmpl w:val="22D23828"/>
    <w:lvl w:ilvl="0" w:tplc="1E286C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3C195A"/>
    <w:multiLevelType w:val="hybridMultilevel"/>
    <w:tmpl w:val="6C44E6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0632658"/>
    <w:multiLevelType w:val="multilevel"/>
    <w:tmpl w:val="67E67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622711"/>
    <w:multiLevelType w:val="hybridMultilevel"/>
    <w:tmpl w:val="CD26B2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Arial Unicode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Unicode M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Unicode MS"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DF4741"/>
    <w:multiLevelType w:val="hybridMultilevel"/>
    <w:tmpl w:val="ABDED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Unicode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Unicode M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Unicode MS"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4337C5"/>
    <w:multiLevelType w:val="hybridMultilevel"/>
    <w:tmpl w:val="5C90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2B3D88"/>
    <w:multiLevelType w:val="hybridMultilevel"/>
    <w:tmpl w:val="90C6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F549A"/>
    <w:multiLevelType w:val="hybridMultilevel"/>
    <w:tmpl w:val="D62AB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Unicode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Unicode M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Unicode MS"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D078B0"/>
    <w:multiLevelType w:val="multilevel"/>
    <w:tmpl w:val="B22CBAF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rFonts w:ascii="Wingdings" w:hAnsi="Wingdings" w:hint="default"/>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8" w15:restartNumberingAfterBreak="0">
    <w:nsid w:val="62342ABF"/>
    <w:multiLevelType w:val="hybridMultilevel"/>
    <w:tmpl w:val="EBF80D3C"/>
    <w:lvl w:ilvl="0" w:tplc="37623D20">
      <w:start w:val="1"/>
      <w:numFmt w:val="bullet"/>
      <w:pStyle w:val="Bulletlist"/>
      <w:lvlText w:val=""/>
      <w:lvlJc w:val="left"/>
      <w:pPr>
        <w:ind w:left="72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450F79"/>
    <w:multiLevelType w:val="hybridMultilevel"/>
    <w:tmpl w:val="B5981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Unicode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Unicode M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Unicode MS"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FA1080"/>
    <w:multiLevelType w:val="hybridMultilevel"/>
    <w:tmpl w:val="6A2A6B8A"/>
    <w:lvl w:ilvl="0" w:tplc="9D2A057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33792"/>
    <w:multiLevelType w:val="hybridMultilevel"/>
    <w:tmpl w:val="3944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D7712"/>
    <w:multiLevelType w:val="hybridMultilevel"/>
    <w:tmpl w:val="484A9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Unicode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Unicode M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Unicode MS"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8557C7"/>
    <w:multiLevelType w:val="hybridMultilevel"/>
    <w:tmpl w:val="911697BC"/>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Arial Unicode MS"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Arial Unicode MS"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Arial Unicode MS" w:hint="default"/>
      </w:rPr>
    </w:lvl>
    <w:lvl w:ilvl="8" w:tplc="0C090005" w:tentative="1">
      <w:start w:val="1"/>
      <w:numFmt w:val="bullet"/>
      <w:lvlText w:val=""/>
      <w:lvlJc w:val="left"/>
      <w:pPr>
        <w:ind w:left="6482" w:hanging="360"/>
      </w:pPr>
      <w:rPr>
        <w:rFonts w:ascii="Wingdings" w:hAnsi="Wingdings" w:hint="default"/>
      </w:rPr>
    </w:lvl>
  </w:abstractNum>
  <w:num w:numId="1">
    <w:abstractNumId w:val="0"/>
  </w:num>
  <w:num w:numId="2">
    <w:abstractNumId w:val="15"/>
  </w:num>
  <w:num w:numId="3">
    <w:abstractNumId w:val="21"/>
  </w:num>
  <w:num w:numId="4">
    <w:abstractNumId w:val="2"/>
  </w:num>
  <w:num w:numId="5">
    <w:abstractNumId w:val="8"/>
  </w:num>
  <w:num w:numId="6">
    <w:abstractNumId w:val="1"/>
  </w:num>
  <w:num w:numId="7">
    <w:abstractNumId w:val="5"/>
  </w:num>
  <w:num w:numId="8">
    <w:abstractNumId w:val="19"/>
  </w:num>
  <w:num w:numId="9">
    <w:abstractNumId w:val="10"/>
  </w:num>
  <w:num w:numId="10">
    <w:abstractNumId w:val="7"/>
  </w:num>
  <w:num w:numId="11">
    <w:abstractNumId w:val="22"/>
  </w:num>
  <w:num w:numId="12">
    <w:abstractNumId w:val="23"/>
  </w:num>
  <w:num w:numId="13">
    <w:abstractNumId w:val="3"/>
  </w:num>
  <w:num w:numId="14">
    <w:abstractNumId w:val="13"/>
  </w:num>
  <w:num w:numId="15">
    <w:abstractNumId w:val="16"/>
  </w:num>
  <w:num w:numId="16">
    <w:abstractNumId w:val="18"/>
  </w:num>
  <w:num w:numId="17">
    <w:abstractNumId w:val="17"/>
  </w:num>
  <w:num w:numId="18">
    <w:abstractNumId w:val="4"/>
  </w:num>
  <w:num w:numId="19">
    <w:abstractNumId w:val="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num>
  <w:num w:numId="24">
    <w:abstractNumId w:val="9"/>
  </w:num>
  <w:num w:numId="25">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74857"/>
    <w:rsid w:val="00003AF8"/>
    <w:rsid w:val="00004E15"/>
    <w:rsid w:val="0000520D"/>
    <w:rsid w:val="000078D4"/>
    <w:rsid w:val="00010007"/>
    <w:rsid w:val="0001006E"/>
    <w:rsid w:val="000116DA"/>
    <w:rsid w:val="00014A14"/>
    <w:rsid w:val="00017E6E"/>
    <w:rsid w:val="000211C3"/>
    <w:rsid w:val="00022971"/>
    <w:rsid w:val="00024930"/>
    <w:rsid w:val="00024962"/>
    <w:rsid w:val="000269ED"/>
    <w:rsid w:val="00030AB6"/>
    <w:rsid w:val="0003133D"/>
    <w:rsid w:val="000356D3"/>
    <w:rsid w:val="00036710"/>
    <w:rsid w:val="00037D3A"/>
    <w:rsid w:val="00037F2C"/>
    <w:rsid w:val="00041970"/>
    <w:rsid w:val="0004242F"/>
    <w:rsid w:val="0004423F"/>
    <w:rsid w:val="00044ACA"/>
    <w:rsid w:val="00044F23"/>
    <w:rsid w:val="000457D3"/>
    <w:rsid w:val="000506C7"/>
    <w:rsid w:val="00060DC2"/>
    <w:rsid w:val="00070198"/>
    <w:rsid w:val="00072784"/>
    <w:rsid w:val="000744A0"/>
    <w:rsid w:val="00074732"/>
    <w:rsid w:val="000747AD"/>
    <w:rsid w:val="00076DF6"/>
    <w:rsid w:val="000807F8"/>
    <w:rsid w:val="00081080"/>
    <w:rsid w:val="00081CA6"/>
    <w:rsid w:val="000840A9"/>
    <w:rsid w:val="00084F17"/>
    <w:rsid w:val="000869AE"/>
    <w:rsid w:val="0008714A"/>
    <w:rsid w:val="000904D7"/>
    <w:rsid w:val="00091F46"/>
    <w:rsid w:val="00092208"/>
    <w:rsid w:val="00093AA0"/>
    <w:rsid w:val="00096F2D"/>
    <w:rsid w:val="00097702"/>
    <w:rsid w:val="000A08CF"/>
    <w:rsid w:val="000A43CA"/>
    <w:rsid w:val="000A47E2"/>
    <w:rsid w:val="000A4D46"/>
    <w:rsid w:val="000A5DCE"/>
    <w:rsid w:val="000B0192"/>
    <w:rsid w:val="000B2018"/>
    <w:rsid w:val="000B2BF3"/>
    <w:rsid w:val="000B42C4"/>
    <w:rsid w:val="000B49D9"/>
    <w:rsid w:val="000B4AEC"/>
    <w:rsid w:val="000B569C"/>
    <w:rsid w:val="000C1751"/>
    <w:rsid w:val="000C2BA5"/>
    <w:rsid w:val="000C341F"/>
    <w:rsid w:val="000C4461"/>
    <w:rsid w:val="000C7E60"/>
    <w:rsid w:val="000D0CBC"/>
    <w:rsid w:val="000D1B15"/>
    <w:rsid w:val="000D2497"/>
    <w:rsid w:val="000D385D"/>
    <w:rsid w:val="000D3C5C"/>
    <w:rsid w:val="000D4760"/>
    <w:rsid w:val="000D51C9"/>
    <w:rsid w:val="000D5AD1"/>
    <w:rsid w:val="000D6E2C"/>
    <w:rsid w:val="000D723B"/>
    <w:rsid w:val="000D728C"/>
    <w:rsid w:val="000D7AAD"/>
    <w:rsid w:val="000D7C2C"/>
    <w:rsid w:val="000E052C"/>
    <w:rsid w:val="000E0646"/>
    <w:rsid w:val="000E0E98"/>
    <w:rsid w:val="000E10FC"/>
    <w:rsid w:val="000E1AE3"/>
    <w:rsid w:val="000E1CA1"/>
    <w:rsid w:val="000F1B0C"/>
    <w:rsid w:val="000F2E88"/>
    <w:rsid w:val="000F30F7"/>
    <w:rsid w:val="000F414E"/>
    <w:rsid w:val="000F46EE"/>
    <w:rsid w:val="000F4827"/>
    <w:rsid w:val="000F6D9F"/>
    <w:rsid w:val="000F7944"/>
    <w:rsid w:val="000F79FC"/>
    <w:rsid w:val="001052F0"/>
    <w:rsid w:val="00106C32"/>
    <w:rsid w:val="00106F3D"/>
    <w:rsid w:val="00107956"/>
    <w:rsid w:val="00107EF9"/>
    <w:rsid w:val="00107F58"/>
    <w:rsid w:val="001118C4"/>
    <w:rsid w:val="001169A2"/>
    <w:rsid w:val="001205C7"/>
    <w:rsid w:val="00122F79"/>
    <w:rsid w:val="00123885"/>
    <w:rsid w:val="0012456A"/>
    <w:rsid w:val="00124B44"/>
    <w:rsid w:val="00126D47"/>
    <w:rsid w:val="001277CA"/>
    <w:rsid w:val="00132106"/>
    <w:rsid w:val="0013389D"/>
    <w:rsid w:val="0013531B"/>
    <w:rsid w:val="001353D8"/>
    <w:rsid w:val="00136266"/>
    <w:rsid w:val="00136923"/>
    <w:rsid w:val="001379EA"/>
    <w:rsid w:val="00137F52"/>
    <w:rsid w:val="00142319"/>
    <w:rsid w:val="00142328"/>
    <w:rsid w:val="00142E70"/>
    <w:rsid w:val="001432F3"/>
    <w:rsid w:val="00143E66"/>
    <w:rsid w:val="00144BEB"/>
    <w:rsid w:val="00145FCE"/>
    <w:rsid w:val="0014664E"/>
    <w:rsid w:val="00146C1C"/>
    <w:rsid w:val="00151161"/>
    <w:rsid w:val="00152694"/>
    <w:rsid w:val="00152F3B"/>
    <w:rsid w:val="00154CE0"/>
    <w:rsid w:val="00156D2D"/>
    <w:rsid w:val="0015714D"/>
    <w:rsid w:val="001616C4"/>
    <w:rsid w:val="00163F06"/>
    <w:rsid w:val="001648B1"/>
    <w:rsid w:val="00164D01"/>
    <w:rsid w:val="00165EC2"/>
    <w:rsid w:val="00167198"/>
    <w:rsid w:val="00167227"/>
    <w:rsid w:val="001739F7"/>
    <w:rsid w:val="001826B1"/>
    <w:rsid w:val="00182CD1"/>
    <w:rsid w:val="0018408D"/>
    <w:rsid w:val="001849D0"/>
    <w:rsid w:val="00184BF9"/>
    <w:rsid w:val="00185283"/>
    <w:rsid w:val="001908A3"/>
    <w:rsid w:val="001935DE"/>
    <w:rsid w:val="00195046"/>
    <w:rsid w:val="00195935"/>
    <w:rsid w:val="001A02E4"/>
    <w:rsid w:val="001A1148"/>
    <w:rsid w:val="001A279D"/>
    <w:rsid w:val="001A4C9B"/>
    <w:rsid w:val="001A5E51"/>
    <w:rsid w:val="001A7E7D"/>
    <w:rsid w:val="001B0222"/>
    <w:rsid w:val="001B0A6A"/>
    <w:rsid w:val="001B0C7F"/>
    <w:rsid w:val="001B0CD8"/>
    <w:rsid w:val="001B1AEE"/>
    <w:rsid w:val="001B1D9D"/>
    <w:rsid w:val="001B2ED4"/>
    <w:rsid w:val="001B3B95"/>
    <w:rsid w:val="001B66EB"/>
    <w:rsid w:val="001B68D0"/>
    <w:rsid w:val="001B692B"/>
    <w:rsid w:val="001C017F"/>
    <w:rsid w:val="001C09C9"/>
    <w:rsid w:val="001C0A6F"/>
    <w:rsid w:val="001C1DC5"/>
    <w:rsid w:val="001C2FC4"/>
    <w:rsid w:val="001C51D9"/>
    <w:rsid w:val="001C6917"/>
    <w:rsid w:val="001C6D36"/>
    <w:rsid w:val="001D0773"/>
    <w:rsid w:val="001D0798"/>
    <w:rsid w:val="001D30A0"/>
    <w:rsid w:val="001D3D84"/>
    <w:rsid w:val="001D443C"/>
    <w:rsid w:val="001D5C1A"/>
    <w:rsid w:val="001D67F8"/>
    <w:rsid w:val="001E132B"/>
    <w:rsid w:val="001E452B"/>
    <w:rsid w:val="001E5E0B"/>
    <w:rsid w:val="001E693F"/>
    <w:rsid w:val="001E6963"/>
    <w:rsid w:val="001F2C95"/>
    <w:rsid w:val="001F5672"/>
    <w:rsid w:val="001F672B"/>
    <w:rsid w:val="00200667"/>
    <w:rsid w:val="00201660"/>
    <w:rsid w:val="00201926"/>
    <w:rsid w:val="002028C5"/>
    <w:rsid w:val="00203728"/>
    <w:rsid w:val="00204E89"/>
    <w:rsid w:val="00205B16"/>
    <w:rsid w:val="00206D2C"/>
    <w:rsid w:val="00207163"/>
    <w:rsid w:val="00207638"/>
    <w:rsid w:val="00207F45"/>
    <w:rsid w:val="00210A85"/>
    <w:rsid w:val="00211E96"/>
    <w:rsid w:val="00213B3F"/>
    <w:rsid w:val="00221BF4"/>
    <w:rsid w:val="00221EDD"/>
    <w:rsid w:val="00221FDE"/>
    <w:rsid w:val="00224396"/>
    <w:rsid w:val="00226329"/>
    <w:rsid w:val="00227882"/>
    <w:rsid w:val="002321E8"/>
    <w:rsid w:val="002375E5"/>
    <w:rsid w:val="00243CE6"/>
    <w:rsid w:val="002449B0"/>
    <w:rsid w:val="0024531E"/>
    <w:rsid w:val="0024667A"/>
    <w:rsid w:val="002504CF"/>
    <w:rsid w:val="00250AFF"/>
    <w:rsid w:val="00252A12"/>
    <w:rsid w:val="0025418D"/>
    <w:rsid w:val="002543B8"/>
    <w:rsid w:val="0025456F"/>
    <w:rsid w:val="00254C3A"/>
    <w:rsid w:val="00254C98"/>
    <w:rsid w:val="00254CDF"/>
    <w:rsid w:val="0025675E"/>
    <w:rsid w:val="0025685D"/>
    <w:rsid w:val="00263246"/>
    <w:rsid w:val="00263A84"/>
    <w:rsid w:val="00263BC2"/>
    <w:rsid w:val="00264216"/>
    <w:rsid w:val="00266314"/>
    <w:rsid w:val="0026759B"/>
    <w:rsid w:val="002708B0"/>
    <w:rsid w:val="002731D2"/>
    <w:rsid w:val="00274194"/>
    <w:rsid w:val="00276720"/>
    <w:rsid w:val="002769B6"/>
    <w:rsid w:val="00282CB9"/>
    <w:rsid w:val="002830BE"/>
    <w:rsid w:val="00283A3C"/>
    <w:rsid w:val="00284BCB"/>
    <w:rsid w:val="002861A1"/>
    <w:rsid w:val="0028675C"/>
    <w:rsid w:val="00290F2F"/>
    <w:rsid w:val="00291888"/>
    <w:rsid w:val="00293D0A"/>
    <w:rsid w:val="00297159"/>
    <w:rsid w:val="0029760E"/>
    <w:rsid w:val="002A0B9C"/>
    <w:rsid w:val="002A4C38"/>
    <w:rsid w:val="002A7AAD"/>
    <w:rsid w:val="002B0550"/>
    <w:rsid w:val="002B08AB"/>
    <w:rsid w:val="002B0D88"/>
    <w:rsid w:val="002B114D"/>
    <w:rsid w:val="002B1529"/>
    <w:rsid w:val="002B2983"/>
    <w:rsid w:val="002B3F80"/>
    <w:rsid w:val="002C0F73"/>
    <w:rsid w:val="002C1A70"/>
    <w:rsid w:val="002C2E50"/>
    <w:rsid w:val="002C4DAC"/>
    <w:rsid w:val="002C6B6E"/>
    <w:rsid w:val="002D06D2"/>
    <w:rsid w:val="002D0C60"/>
    <w:rsid w:val="002D0D5C"/>
    <w:rsid w:val="002D1B26"/>
    <w:rsid w:val="002D2C6F"/>
    <w:rsid w:val="002D4F3F"/>
    <w:rsid w:val="002D518C"/>
    <w:rsid w:val="002E311C"/>
    <w:rsid w:val="002E5B0D"/>
    <w:rsid w:val="002E6747"/>
    <w:rsid w:val="002E7AF0"/>
    <w:rsid w:val="002F02DF"/>
    <w:rsid w:val="002F20A9"/>
    <w:rsid w:val="002F2B55"/>
    <w:rsid w:val="002F2D86"/>
    <w:rsid w:val="002F4532"/>
    <w:rsid w:val="002F497E"/>
    <w:rsid w:val="002F4A3E"/>
    <w:rsid w:val="00300736"/>
    <w:rsid w:val="003009BC"/>
    <w:rsid w:val="00301C91"/>
    <w:rsid w:val="00303E4E"/>
    <w:rsid w:val="0030445E"/>
    <w:rsid w:val="003054AD"/>
    <w:rsid w:val="00305FFD"/>
    <w:rsid w:val="003062E7"/>
    <w:rsid w:val="0030641D"/>
    <w:rsid w:val="00306644"/>
    <w:rsid w:val="0030736A"/>
    <w:rsid w:val="00312373"/>
    <w:rsid w:val="00312AE0"/>
    <w:rsid w:val="00312D73"/>
    <w:rsid w:val="00312FE0"/>
    <w:rsid w:val="00314954"/>
    <w:rsid w:val="00315D36"/>
    <w:rsid w:val="0032088E"/>
    <w:rsid w:val="0032124A"/>
    <w:rsid w:val="0032210A"/>
    <w:rsid w:val="00322C65"/>
    <w:rsid w:val="0032322D"/>
    <w:rsid w:val="00324688"/>
    <w:rsid w:val="0032481E"/>
    <w:rsid w:val="00326536"/>
    <w:rsid w:val="00326812"/>
    <w:rsid w:val="00326F9B"/>
    <w:rsid w:val="00331FB1"/>
    <w:rsid w:val="00332D93"/>
    <w:rsid w:val="00334975"/>
    <w:rsid w:val="003358C1"/>
    <w:rsid w:val="00342978"/>
    <w:rsid w:val="00342A98"/>
    <w:rsid w:val="00344E71"/>
    <w:rsid w:val="003452AD"/>
    <w:rsid w:val="00346210"/>
    <w:rsid w:val="003462EF"/>
    <w:rsid w:val="00347533"/>
    <w:rsid w:val="00347A98"/>
    <w:rsid w:val="003504BC"/>
    <w:rsid w:val="003513CA"/>
    <w:rsid w:val="003514AD"/>
    <w:rsid w:val="0035169C"/>
    <w:rsid w:val="00351E5C"/>
    <w:rsid w:val="003653A4"/>
    <w:rsid w:val="00365E9D"/>
    <w:rsid w:val="00367861"/>
    <w:rsid w:val="003709EB"/>
    <w:rsid w:val="00370D26"/>
    <w:rsid w:val="00373A80"/>
    <w:rsid w:val="003741B3"/>
    <w:rsid w:val="00374C88"/>
    <w:rsid w:val="003751A5"/>
    <w:rsid w:val="003761F7"/>
    <w:rsid w:val="0037789D"/>
    <w:rsid w:val="003808AA"/>
    <w:rsid w:val="00380C34"/>
    <w:rsid w:val="00382AB2"/>
    <w:rsid w:val="00383D7E"/>
    <w:rsid w:val="00386074"/>
    <w:rsid w:val="00387ECE"/>
    <w:rsid w:val="0039097C"/>
    <w:rsid w:val="00390D4E"/>
    <w:rsid w:val="00393014"/>
    <w:rsid w:val="00393225"/>
    <w:rsid w:val="003939B3"/>
    <w:rsid w:val="00395EFC"/>
    <w:rsid w:val="0039693E"/>
    <w:rsid w:val="00397954"/>
    <w:rsid w:val="003A03C7"/>
    <w:rsid w:val="003A1AC4"/>
    <w:rsid w:val="003A2528"/>
    <w:rsid w:val="003A2705"/>
    <w:rsid w:val="003A2BDF"/>
    <w:rsid w:val="003A3EB5"/>
    <w:rsid w:val="003A436E"/>
    <w:rsid w:val="003A548B"/>
    <w:rsid w:val="003A5F15"/>
    <w:rsid w:val="003A7083"/>
    <w:rsid w:val="003A768C"/>
    <w:rsid w:val="003B30CC"/>
    <w:rsid w:val="003B33CA"/>
    <w:rsid w:val="003B34CF"/>
    <w:rsid w:val="003B543F"/>
    <w:rsid w:val="003B5D1B"/>
    <w:rsid w:val="003B7E84"/>
    <w:rsid w:val="003C10B9"/>
    <w:rsid w:val="003C2265"/>
    <w:rsid w:val="003C63B4"/>
    <w:rsid w:val="003C6E6A"/>
    <w:rsid w:val="003D0BC3"/>
    <w:rsid w:val="003D2F3A"/>
    <w:rsid w:val="003D3F05"/>
    <w:rsid w:val="003D5899"/>
    <w:rsid w:val="003D59FC"/>
    <w:rsid w:val="003D645C"/>
    <w:rsid w:val="003D707D"/>
    <w:rsid w:val="003E1C6D"/>
    <w:rsid w:val="003E4061"/>
    <w:rsid w:val="003F31D0"/>
    <w:rsid w:val="003F4C09"/>
    <w:rsid w:val="003F69BA"/>
    <w:rsid w:val="004019FE"/>
    <w:rsid w:val="00401D3C"/>
    <w:rsid w:val="004021F6"/>
    <w:rsid w:val="004023BA"/>
    <w:rsid w:val="0040543F"/>
    <w:rsid w:val="004075B3"/>
    <w:rsid w:val="00407BCF"/>
    <w:rsid w:val="0041191E"/>
    <w:rsid w:val="004120B2"/>
    <w:rsid w:val="004122FE"/>
    <w:rsid w:val="00412E0A"/>
    <w:rsid w:val="00413245"/>
    <w:rsid w:val="0041336E"/>
    <w:rsid w:val="00414F81"/>
    <w:rsid w:val="004243B1"/>
    <w:rsid w:val="00425ADA"/>
    <w:rsid w:val="00427D24"/>
    <w:rsid w:val="004323CA"/>
    <w:rsid w:val="004335C3"/>
    <w:rsid w:val="004346A8"/>
    <w:rsid w:val="00435AB8"/>
    <w:rsid w:val="00441CFD"/>
    <w:rsid w:val="0044471D"/>
    <w:rsid w:val="0044546B"/>
    <w:rsid w:val="0044674E"/>
    <w:rsid w:val="00446DD9"/>
    <w:rsid w:val="004471DA"/>
    <w:rsid w:val="00452743"/>
    <w:rsid w:val="00452786"/>
    <w:rsid w:val="00452F6D"/>
    <w:rsid w:val="00454F37"/>
    <w:rsid w:val="004560D3"/>
    <w:rsid w:val="00457538"/>
    <w:rsid w:val="00461CAB"/>
    <w:rsid w:val="00461DF4"/>
    <w:rsid w:val="00464462"/>
    <w:rsid w:val="00464CEE"/>
    <w:rsid w:val="00464E94"/>
    <w:rsid w:val="004650F0"/>
    <w:rsid w:val="00466E17"/>
    <w:rsid w:val="004727B6"/>
    <w:rsid w:val="004731C4"/>
    <w:rsid w:val="00474E30"/>
    <w:rsid w:val="00475242"/>
    <w:rsid w:val="0047655D"/>
    <w:rsid w:val="00476AC1"/>
    <w:rsid w:val="00477915"/>
    <w:rsid w:val="00480112"/>
    <w:rsid w:val="0048271E"/>
    <w:rsid w:val="004832CA"/>
    <w:rsid w:val="00484069"/>
    <w:rsid w:val="00491450"/>
    <w:rsid w:val="00491516"/>
    <w:rsid w:val="004919F0"/>
    <w:rsid w:val="00491B02"/>
    <w:rsid w:val="00493177"/>
    <w:rsid w:val="0049342F"/>
    <w:rsid w:val="00496A9C"/>
    <w:rsid w:val="004A0E50"/>
    <w:rsid w:val="004A0FD0"/>
    <w:rsid w:val="004A0FD3"/>
    <w:rsid w:val="004A1859"/>
    <w:rsid w:val="004A2CE1"/>
    <w:rsid w:val="004A32DE"/>
    <w:rsid w:val="004A3421"/>
    <w:rsid w:val="004A3B00"/>
    <w:rsid w:val="004A42A0"/>
    <w:rsid w:val="004A4A08"/>
    <w:rsid w:val="004A5750"/>
    <w:rsid w:val="004A72A1"/>
    <w:rsid w:val="004A7F1C"/>
    <w:rsid w:val="004B04C1"/>
    <w:rsid w:val="004B15E9"/>
    <w:rsid w:val="004B29A2"/>
    <w:rsid w:val="004B30DC"/>
    <w:rsid w:val="004B5584"/>
    <w:rsid w:val="004B6D2E"/>
    <w:rsid w:val="004B7260"/>
    <w:rsid w:val="004C1A97"/>
    <w:rsid w:val="004C2215"/>
    <w:rsid w:val="004C3809"/>
    <w:rsid w:val="004C486D"/>
    <w:rsid w:val="004C4AB3"/>
    <w:rsid w:val="004C5F5D"/>
    <w:rsid w:val="004C5FF9"/>
    <w:rsid w:val="004C6574"/>
    <w:rsid w:val="004D14A9"/>
    <w:rsid w:val="004D2ACF"/>
    <w:rsid w:val="004D32C8"/>
    <w:rsid w:val="004E1932"/>
    <w:rsid w:val="004E1947"/>
    <w:rsid w:val="004E3D1B"/>
    <w:rsid w:val="004E6FEB"/>
    <w:rsid w:val="004F049D"/>
    <w:rsid w:val="004F07B0"/>
    <w:rsid w:val="004F0A92"/>
    <w:rsid w:val="004F180A"/>
    <w:rsid w:val="004F1BCD"/>
    <w:rsid w:val="004F1CA6"/>
    <w:rsid w:val="004F23F3"/>
    <w:rsid w:val="004F3CDC"/>
    <w:rsid w:val="004F3F80"/>
    <w:rsid w:val="004F4161"/>
    <w:rsid w:val="004F5F86"/>
    <w:rsid w:val="004F7ABF"/>
    <w:rsid w:val="004F7E7B"/>
    <w:rsid w:val="00500974"/>
    <w:rsid w:val="00501074"/>
    <w:rsid w:val="005014D2"/>
    <w:rsid w:val="00502BBF"/>
    <w:rsid w:val="00503F5D"/>
    <w:rsid w:val="00504400"/>
    <w:rsid w:val="00505BD0"/>
    <w:rsid w:val="00506325"/>
    <w:rsid w:val="005069DA"/>
    <w:rsid w:val="00510F33"/>
    <w:rsid w:val="00512C58"/>
    <w:rsid w:val="00513F40"/>
    <w:rsid w:val="00517296"/>
    <w:rsid w:val="00520D8C"/>
    <w:rsid w:val="00521794"/>
    <w:rsid w:val="00522647"/>
    <w:rsid w:val="00522889"/>
    <w:rsid w:val="00523198"/>
    <w:rsid w:val="00525AB2"/>
    <w:rsid w:val="00526951"/>
    <w:rsid w:val="00527CD7"/>
    <w:rsid w:val="0053242E"/>
    <w:rsid w:val="005331CC"/>
    <w:rsid w:val="005345F4"/>
    <w:rsid w:val="0053476B"/>
    <w:rsid w:val="00534E4A"/>
    <w:rsid w:val="0053623E"/>
    <w:rsid w:val="00536ABC"/>
    <w:rsid w:val="00540532"/>
    <w:rsid w:val="00541AC5"/>
    <w:rsid w:val="00542340"/>
    <w:rsid w:val="00547478"/>
    <w:rsid w:val="00550EF5"/>
    <w:rsid w:val="00551F83"/>
    <w:rsid w:val="005527C6"/>
    <w:rsid w:val="00552951"/>
    <w:rsid w:val="00552AC0"/>
    <w:rsid w:val="00552E2A"/>
    <w:rsid w:val="00553A7D"/>
    <w:rsid w:val="00556051"/>
    <w:rsid w:val="005570D2"/>
    <w:rsid w:val="00562506"/>
    <w:rsid w:val="00563F8F"/>
    <w:rsid w:val="00565FB0"/>
    <w:rsid w:val="00566E79"/>
    <w:rsid w:val="00567333"/>
    <w:rsid w:val="00570C86"/>
    <w:rsid w:val="00572645"/>
    <w:rsid w:val="0057304B"/>
    <w:rsid w:val="0057329F"/>
    <w:rsid w:val="0057331A"/>
    <w:rsid w:val="005741DF"/>
    <w:rsid w:val="00574F09"/>
    <w:rsid w:val="00575051"/>
    <w:rsid w:val="00580F0E"/>
    <w:rsid w:val="00583F12"/>
    <w:rsid w:val="005878D1"/>
    <w:rsid w:val="00587DA2"/>
    <w:rsid w:val="0059049C"/>
    <w:rsid w:val="00591568"/>
    <w:rsid w:val="00591A00"/>
    <w:rsid w:val="00591DBA"/>
    <w:rsid w:val="00592A8E"/>
    <w:rsid w:val="00594319"/>
    <w:rsid w:val="00594888"/>
    <w:rsid w:val="00594B07"/>
    <w:rsid w:val="00594ECF"/>
    <w:rsid w:val="00595A22"/>
    <w:rsid w:val="00595D1C"/>
    <w:rsid w:val="00597867"/>
    <w:rsid w:val="005A0C65"/>
    <w:rsid w:val="005A29CD"/>
    <w:rsid w:val="005A3CAB"/>
    <w:rsid w:val="005A5FB3"/>
    <w:rsid w:val="005A7D9B"/>
    <w:rsid w:val="005B1193"/>
    <w:rsid w:val="005B42D5"/>
    <w:rsid w:val="005C2321"/>
    <w:rsid w:val="005C32AD"/>
    <w:rsid w:val="005C46DC"/>
    <w:rsid w:val="005D29F0"/>
    <w:rsid w:val="005D50E9"/>
    <w:rsid w:val="005D5B88"/>
    <w:rsid w:val="005E04EC"/>
    <w:rsid w:val="005E2D16"/>
    <w:rsid w:val="005F1138"/>
    <w:rsid w:val="005F16BF"/>
    <w:rsid w:val="005F3ED5"/>
    <w:rsid w:val="005F4B39"/>
    <w:rsid w:val="005F5387"/>
    <w:rsid w:val="005F617D"/>
    <w:rsid w:val="005F78AC"/>
    <w:rsid w:val="005F7EB6"/>
    <w:rsid w:val="006004A1"/>
    <w:rsid w:val="00601D6E"/>
    <w:rsid w:val="00601E1D"/>
    <w:rsid w:val="0060565F"/>
    <w:rsid w:val="00606365"/>
    <w:rsid w:val="00606ED3"/>
    <w:rsid w:val="00607D52"/>
    <w:rsid w:val="006100C0"/>
    <w:rsid w:val="006103B5"/>
    <w:rsid w:val="0061152F"/>
    <w:rsid w:val="00615FBB"/>
    <w:rsid w:val="0061776A"/>
    <w:rsid w:val="0062251E"/>
    <w:rsid w:val="00625285"/>
    <w:rsid w:val="006264B2"/>
    <w:rsid w:val="00630416"/>
    <w:rsid w:val="006319C9"/>
    <w:rsid w:val="0063472C"/>
    <w:rsid w:val="00635CCF"/>
    <w:rsid w:val="006379D9"/>
    <w:rsid w:val="006415C2"/>
    <w:rsid w:val="006431EC"/>
    <w:rsid w:val="00646842"/>
    <w:rsid w:val="006474FD"/>
    <w:rsid w:val="00647693"/>
    <w:rsid w:val="00647D59"/>
    <w:rsid w:val="006500D7"/>
    <w:rsid w:val="006512FD"/>
    <w:rsid w:val="006515B3"/>
    <w:rsid w:val="00651878"/>
    <w:rsid w:val="00656EA0"/>
    <w:rsid w:val="00660F8C"/>
    <w:rsid w:val="00662318"/>
    <w:rsid w:val="00663828"/>
    <w:rsid w:val="00664FDE"/>
    <w:rsid w:val="0066504A"/>
    <w:rsid w:val="006653E4"/>
    <w:rsid w:val="00665F6B"/>
    <w:rsid w:val="00666A3A"/>
    <w:rsid w:val="00667071"/>
    <w:rsid w:val="00670925"/>
    <w:rsid w:val="00671196"/>
    <w:rsid w:val="00673404"/>
    <w:rsid w:val="006740EB"/>
    <w:rsid w:val="00674823"/>
    <w:rsid w:val="00677552"/>
    <w:rsid w:val="00680652"/>
    <w:rsid w:val="00681656"/>
    <w:rsid w:val="00681EF4"/>
    <w:rsid w:val="0068226B"/>
    <w:rsid w:val="006831FF"/>
    <w:rsid w:val="006841E5"/>
    <w:rsid w:val="0068459B"/>
    <w:rsid w:val="006847F4"/>
    <w:rsid w:val="006914AF"/>
    <w:rsid w:val="00692904"/>
    <w:rsid w:val="00693D20"/>
    <w:rsid w:val="006963A7"/>
    <w:rsid w:val="0069670F"/>
    <w:rsid w:val="006A25D2"/>
    <w:rsid w:val="006A28B6"/>
    <w:rsid w:val="006A3B7E"/>
    <w:rsid w:val="006A5C6B"/>
    <w:rsid w:val="006B00F0"/>
    <w:rsid w:val="006B147E"/>
    <w:rsid w:val="006B322E"/>
    <w:rsid w:val="006B33E8"/>
    <w:rsid w:val="006B4ACA"/>
    <w:rsid w:val="006B5DCB"/>
    <w:rsid w:val="006B6A76"/>
    <w:rsid w:val="006C078E"/>
    <w:rsid w:val="006C0F6C"/>
    <w:rsid w:val="006C226B"/>
    <w:rsid w:val="006C282D"/>
    <w:rsid w:val="006C4968"/>
    <w:rsid w:val="006C5C3E"/>
    <w:rsid w:val="006C5CD1"/>
    <w:rsid w:val="006C6321"/>
    <w:rsid w:val="006D06CC"/>
    <w:rsid w:val="006D085A"/>
    <w:rsid w:val="006D26F7"/>
    <w:rsid w:val="006D2710"/>
    <w:rsid w:val="006D2902"/>
    <w:rsid w:val="006D5334"/>
    <w:rsid w:val="006D5CC1"/>
    <w:rsid w:val="006D612C"/>
    <w:rsid w:val="006D6BB7"/>
    <w:rsid w:val="006D6F98"/>
    <w:rsid w:val="006D7714"/>
    <w:rsid w:val="006D7AE7"/>
    <w:rsid w:val="006E0A0F"/>
    <w:rsid w:val="006E224A"/>
    <w:rsid w:val="006E2AFC"/>
    <w:rsid w:val="006E3332"/>
    <w:rsid w:val="006E4A55"/>
    <w:rsid w:val="006E593B"/>
    <w:rsid w:val="006E599B"/>
    <w:rsid w:val="006E5D5E"/>
    <w:rsid w:val="006F0A17"/>
    <w:rsid w:val="006F3BC3"/>
    <w:rsid w:val="006F40DE"/>
    <w:rsid w:val="006F6485"/>
    <w:rsid w:val="006F772E"/>
    <w:rsid w:val="007005F6"/>
    <w:rsid w:val="00702C2E"/>
    <w:rsid w:val="00703214"/>
    <w:rsid w:val="00704373"/>
    <w:rsid w:val="007048C6"/>
    <w:rsid w:val="0070528E"/>
    <w:rsid w:val="0070595B"/>
    <w:rsid w:val="0070706A"/>
    <w:rsid w:val="00707673"/>
    <w:rsid w:val="00710BD8"/>
    <w:rsid w:val="007137BF"/>
    <w:rsid w:val="00723838"/>
    <w:rsid w:val="00723C6D"/>
    <w:rsid w:val="007317E8"/>
    <w:rsid w:val="00731C86"/>
    <w:rsid w:val="007322B1"/>
    <w:rsid w:val="00734AED"/>
    <w:rsid w:val="00741282"/>
    <w:rsid w:val="0074200E"/>
    <w:rsid w:val="007420DA"/>
    <w:rsid w:val="0074444C"/>
    <w:rsid w:val="007466D7"/>
    <w:rsid w:val="00755628"/>
    <w:rsid w:val="00757F34"/>
    <w:rsid w:val="0076034E"/>
    <w:rsid w:val="00760E53"/>
    <w:rsid w:val="00761926"/>
    <w:rsid w:val="00763AC1"/>
    <w:rsid w:val="00766440"/>
    <w:rsid w:val="007665B4"/>
    <w:rsid w:val="0076688A"/>
    <w:rsid w:val="00766B44"/>
    <w:rsid w:val="00767045"/>
    <w:rsid w:val="007670EA"/>
    <w:rsid w:val="00767C6D"/>
    <w:rsid w:val="007706D5"/>
    <w:rsid w:val="007708B8"/>
    <w:rsid w:val="00770DDD"/>
    <w:rsid w:val="00773421"/>
    <w:rsid w:val="00775844"/>
    <w:rsid w:val="00775E7C"/>
    <w:rsid w:val="00775F06"/>
    <w:rsid w:val="0078193D"/>
    <w:rsid w:val="00785413"/>
    <w:rsid w:val="0079226B"/>
    <w:rsid w:val="00792E2D"/>
    <w:rsid w:val="007946A3"/>
    <w:rsid w:val="007A256B"/>
    <w:rsid w:val="007A33D0"/>
    <w:rsid w:val="007A6F02"/>
    <w:rsid w:val="007A7675"/>
    <w:rsid w:val="007B0C70"/>
    <w:rsid w:val="007B41CB"/>
    <w:rsid w:val="007B7121"/>
    <w:rsid w:val="007B78D4"/>
    <w:rsid w:val="007C17E0"/>
    <w:rsid w:val="007C36F4"/>
    <w:rsid w:val="007C57B0"/>
    <w:rsid w:val="007C6116"/>
    <w:rsid w:val="007C6127"/>
    <w:rsid w:val="007C6E4E"/>
    <w:rsid w:val="007D27CA"/>
    <w:rsid w:val="007D3155"/>
    <w:rsid w:val="007D37F1"/>
    <w:rsid w:val="007D386A"/>
    <w:rsid w:val="007D4B6D"/>
    <w:rsid w:val="007D4C42"/>
    <w:rsid w:val="007D56A5"/>
    <w:rsid w:val="007D5979"/>
    <w:rsid w:val="007D64D2"/>
    <w:rsid w:val="007E1BBE"/>
    <w:rsid w:val="007E419C"/>
    <w:rsid w:val="007E5505"/>
    <w:rsid w:val="007E5AC8"/>
    <w:rsid w:val="007E73AE"/>
    <w:rsid w:val="007E7BA9"/>
    <w:rsid w:val="007F1D73"/>
    <w:rsid w:val="007F23B8"/>
    <w:rsid w:val="007F2575"/>
    <w:rsid w:val="007F2A1B"/>
    <w:rsid w:val="007F391B"/>
    <w:rsid w:val="007F4826"/>
    <w:rsid w:val="007F4DBA"/>
    <w:rsid w:val="007F4EA2"/>
    <w:rsid w:val="007F5680"/>
    <w:rsid w:val="00800A99"/>
    <w:rsid w:val="008028D0"/>
    <w:rsid w:val="0080534B"/>
    <w:rsid w:val="008059D8"/>
    <w:rsid w:val="00805A68"/>
    <w:rsid w:val="0081170E"/>
    <w:rsid w:val="00812923"/>
    <w:rsid w:val="00812ED1"/>
    <w:rsid w:val="00815A7E"/>
    <w:rsid w:val="008168F2"/>
    <w:rsid w:val="00816EC0"/>
    <w:rsid w:val="00817A97"/>
    <w:rsid w:val="00817FE4"/>
    <w:rsid w:val="008214FC"/>
    <w:rsid w:val="00821DE3"/>
    <w:rsid w:val="008239B9"/>
    <w:rsid w:val="00824541"/>
    <w:rsid w:val="00824547"/>
    <w:rsid w:val="00827FBA"/>
    <w:rsid w:val="00832E6E"/>
    <w:rsid w:val="00833D06"/>
    <w:rsid w:val="00834468"/>
    <w:rsid w:val="00834D12"/>
    <w:rsid w:val="00835116"/>
    <w:rsid w:val="008370D5"/>
    <w:rsid w:val="00837874"/>
    <w:rsid w:val="008405CA"/>
    <w:rsid w:val="00841535"/>
    <w:rsid w:val="00841569"/>
    <w:rsid w:val="00843DE5"/>
    <w:rsid w:val="0084599B"/>
    <w:rsid w:val="00847F63"/>
    <w:rsid w:val="00850329"/>
    <w:rsid w:val="008512F2"/>
    <w:rsid w:val="008513A9"/>
    <w:rsid w:val="008517F5"/>
    <w:rsid w:val="00851D39"/>
    <w:rsid w:val="00853F12"/>
    <w:rsid w:val="008549E1"/>
    <w:rsid w:val="008566DC"/>
    <w:rsid w:val="00860A9D"/>
    <w:rsid w:val="008617BA"/>
    <w:rsid w:val="00862D04"/>
    <w:rsid w:val="0086327E"/>
    <w:rsid w:val="00865222"/>
    <w:rsid w:val="00865632"/>
    <w:rsid w:val="00871A48"/>
    <w:rsid w:val="008724C1"/>
    <w:rsid w:val="00872AAE"/>
    <w:rsid w:val="0087372A"/>
    <w:rsid w:val="008740D4"/>
    <w:rsid w:val="008755C7"/>
    <w:rsid w:val="00875E34"/>
    <w:rsid w:val="00876161"/>
    <w:rsid w:val="00876582"/>
    <w:rsid w:val="00876EF4"/>
    <w:rsid w:val="0088029D"/>
    <w:rsid w:val="00880B56"/>
    <w:rsid w:val="00884211"/>
    <w:rsid w:val="0088742E"/>
    <w:rsid w:val="00892084"/>
    <w:rsid w:val="00892EDC"/>
    <w:rsid w:val="008A1304"/>
    <w:rsid w:val="008A186C"/>
    <w:rsid w:val="008A20B2"/>
    <w:rsid w:val="008A3B01"/>
    <w:rsid w:val="008A75D2"/>
    <w:rsid w:val="008B16C9"/>
    <w:rsid w:val="008B1F03"/>
    <w:rsid w:val="008B4699"/>
    <w:rsid w:val="008B6BB6"/>
    <w:rsid w:val="008B7DA0"/>
    <w:rsid w:val="008C1037"/>
    <w:rsid w:val="008C22F1"/>
    <w:rsid w:val="008C2F12"/>
    <w:rsid w:val="008C339A"/>
    <w:rsid w:val="008C3B78"/>
    <w:rsid w:val="008C4FF8"/>
    <w:rsid w:val="008C6021"/>
    <w:rsid w:val="008C776E"/>
    <w:rsid w:val="008D0310"/>
    <w:rsid w:val="008D14C9"/>
    <w:rsid w:val="008D1D87"/>
    <w:rsid w:val="008D26AC"/>
    <w:rsid w:val="008D2DB5"/>
    <w:rsid w:val="008D3CE0"/>
    <w:rsid w:val="008D3F51"/>
    <w:rsid w:val="008D676C"/>
    <w:rsid w:val="008D68FA"/>
    <w:rsid w:val="008E09F2"/>
    <w:rsid w:val="008E13F8"/>
    <w:rsid w:val="008E1959"/>
    <w:rsid w:val="008E5589"/>
    <w:rsid w:val="008E6EFA"/>
    <w:rsid w:val="008F1992"/>
    <w:rsid w:val="008F4EE8"/>
    <w:rsid w:val="008F7D17"/>
    <w:rsid w:val="009024A6"/>
    <w:rsid w:val="00902F78"/>
    <w:rsid w:val="00905799"/>
    <w:rsid w:val="009059CC"/>
    <w:rsid w:val="009064C5"/>
    <w:rsid w:val="0090758F"/>
    <w:rsid w:val="00911ACB"/>
    <w:rsid w:val="00911FEB"/>
    <w:rsid w:val="0091391B"/>
    <w:rsid w:val="00914058"/>
    <w:rsid w:val="0091433C"/>
    <w:rsid w:val="00916196"/>
    <w:rsid w:val="0092029C"/>
    <w:rsid w:val="00921B00"/>
    <w:rsid w:val="00923E85"/>
    <w:rsid w:val="009243C6"/>
    <w:rsid w:val="009244E8"/>
    <w:rsid w:val="0092471C"/>
    <w:rsid w:val="0092474D"/>
    <w:rsid w:val="00925DD4"/>
    <w:rsid w:val="00927ADA"/>
    <w:rsid w:val="00927E8E"/>
    <w:rsid w:val="009326CC"/>
    <w:rsid w:val="00932C10"/>
    <w:rsid w:val="00933509"/>
    <w:rsid w:val="00933747"/>
    <w:rsid w:val="00934222"/>
    <w:rsid w:val="0093480A"/>
    <w:rsid w:val="0093591B"/>
    <w:rsid w:val="00936398"/>
    <w:rsid w:val="00943C5D"/>
    <w:rsid w:val="00944D29"/>
    <w:rsid w:val="009476C4"/>
    <w:rsid w:val="00950C07"/>
    <w:rsid w:val="00953BE0"/>
    <w:rsid w:val="00953C01"/>
    <w:rsid w:val="00956137"/>
    <w:rsid w:val="00956D20"/>
    <w:rsid w:val="009604F9"/>
    <w:rsid w:val="0096343A"/>
    <w:rsid w:val="00964047"/>
    <w:rsid w:val="0096567D"/>
    <w:rsid w:val="0096705B"/>
    <w:rsid w:val="0096767E"/>
    <w:rsid w:val="00967790"/>
    <w:rsid w:val="00970008"/>
    <w:rsid w:val="009728C6"/>
    <w:rsid w:val="0097515E"/>
    <w:rsid w:val="00977BC9"/>
    <w:rsid w:val="0098075B"/>
    <w:rsid w:val="00982283"/>
    <w:rsid w:val="00982DD4"/>
    <w:rsid w:val="0098572F"/>
    <w:rsid w:val="00991302"/>
    <w:rsid w:val="00992DC0"/>
    <w:rsid w:val="00993387"/>
    <w:rsid w:val="00993ACA"/>
    <w:rsid w:val="0099435C"/>
    <w:rsid w:val="0099599E"/>
    <w:rsid w:val="00996E01"/>
    <w:rsid w:val="00997046"/>
    <w:rsid w:val="009A04A4"/>
    <w:rsid w:val="009A05B5"/>
    <w:rsid w:val="009A06CF"/>
    <w:rsid w:val="009A130F"/>
    <w:rsid w:val="009A21FC"/>
    <w:rsid w:val="009A3202"/>
    <w:rsid w:val="009A41FD"/>
    <w:rsid w:val="009A67BE"/>
    <w:rsid w:val="009B65DF"/>
    <w:rsid w:val="009B6D36"/>
    <w:rsid w:val="009B7E93"/>
    <w:rsid w:val="009C0248"/>
    <w:rsid w:val="009C042B"/>
    <w:rsid w:val="009C0917"/>
    <w:rsid w:val="009C4FA5"/>
    <w:rsid w:val="009C5418"/>
    <w:rsid w:val="009D1226"/>
    <w:rsid w:val="009D28A8"/>
    <w:rsid w:val="009D31DC"/>
    <w:rsid w:val="009D3FD2"/>
    <w:rsid w:val="009D3FE7"/>
    <w:rsid w:val="009D440C"/>
    <w:rsid w:val="009D729B"/>
    <w:rsid w:val="009E206B"/>
    <w:rsid w:val="009E3700"/>
    <w:rsid w:val="009E399C"/>
    <w:rsid w:val="009E714B"/>
    <w:rsid w:val="009F1E6E"/>
    <w:rsid w:val="009F2A64"/>
    <w:rsid w:val="009F2E7F"/>
    <w:rsid w:val="009F4189"/>
    <w:rsid w:val="009F6ACA"/>
    <w:rsid w:val="00A016F7"/>
    <w:rsid w:val="00A038F7"/>
    <w:rsid w:val="00A040D9"/>
    <w:rsid w:val="00A04DFA"/>
    <w:rsid w:val="00A04F33"/>
    <w:rsid w:val="00A0591F"/>
    <w:rsid w:val="00A05C7D"/>
    <w:rsid w:val="00A07050"/>
    <w:rsid w:val="00A070D4"/>
    <w:rsid w:val="00A07591"/>
    <w:rsid w:val="00A11225"/>
    <w:rsid w:val="00A11B3C"/>
    <w:rsid w:val="00A126A0"/>
    <w:rsid w:val="00A12A85"/>
    <w:rsid w:val="00A13C3D"/>
    <w:rsid w:val="00A20B9B"/>
    <w:rsid w:val="00A21B8B"/>
    <w:rsid w:val="00A22835"/>
    <w:rsid w:val="00A229DE"/>
    <w:rsid w:val="00A23289"/>
    <w:rsid w:val="00A27FE2"/>
    <w:rsid w:val="00A30D41"/>
    <w:rsid w:val="00A3159E"/>
    <w:rsid w:val="00A31648"/>
    <w:rsid w:val="00A330DF"/>
    <w:rsid w:val="00A364F7"/>
    <w:rsid w:val="00A41053"/>
    <w:rsid w:val="00A4186F"/>
    <w:rsid w:val="00A4211D"/>
    <w:rsid w:val="00A434FA"/>
    <w:rsid w:val="00A4448C"/>
    <w:rsid w:val="00A46550"/>
    <w:rsid w:val="00A4670C"/>
    <w:rsid w:val="00A52EA1"/>
    <w:rsid w:val="00A52F07"/>
    <w:rsid w:val="00A5495F"/>
    <w:rsid w:val="00A54A4C"/>
    <w:rsid w:val="00A56695"/>
    <w:rsid w:val="00A615DC"/>
    <w:rsid w:val="00A621E6"/>
    <w:rsid w:val="00A639F8"/>
    <w:rsid w:val="00A64322"/>
    <w:rsid w:val="00A64526"/>
    <w:rsid w:val="00A65B2D"/>
    <w:rsid w:val="00A674D8"/>
    <w:rsid w:val="00A70C18"/>
    <w:rsid w:val="00A759FE"/>
    <w:rsid w:val="00A77108"/>
    <w:rsid w:val="00A77C08"/>
    <w:rsid w:val="00A80FCD"/>
    <w:rsid w:val="00A84330"/>
    <w:rsid w:val="00A84993"/>
    <w:rsid w:val="00A855E6"/>
    <w:rsid w:val="00A8591A"/>
    <w:rsid w:val="00A86A31"/>
    <w:rsid w:val="00A907E3"/>
    <w:rsid w:val="00A90870"/>
    <w:rsid w:val="00A909D8"/>
    <w:rsid w:val="00A91954"/>
    <w:rsid w:val="00A92083"/>
    <w:rsid w:val="00A93CF4"/>
    <w:rsid w:val="00A95645"/>
    <w:rsid w:val="00A96B39"/>
    <w:rsid w:val="00A96B82"/>
    <w:rsid w:val="00A979E5"/>
    <w:rsid w:val="00AA2387"/>
    <w:rsid w:val="00AA26C0"/>
    <w:rsid w:val="00AA2EB6"/>
    <w:rsid w:val="00AA6ABA"/>
    <w:rsid w:val="00AB1CBB"/>
    <w:rsid w:val="00AB22A0"/>
    <w:rsid w:val="00AB3CCC"/>
    <w:rsid w:val="00AB500C"/>
    <w:rsid w:val="00AB53EE"/>
    <w:rsid w:val="00AB5D92"/>
    <w:rsid w:val="00AB6CE6"/>
    <w:rsid w:val="00AB7227"/>
    <w:rsid w:val="00AB793B"/>
    <w:rsid w:val="00AC0720"/>
    <w:rsid w:val="00AC16A3"/>
    <w:rsid w:val="00AC4250"/>
    <w:rsid w:val="00AC4637"/>
    <w:rsid w:val="00AC5928"/>
    <w:rsid w:val="00AD044C"/>
    <w:rsid w:val="00AD08B6"/>
    <w:rsid w:val="00AD0F9D"/>
    <w:rsid w:val="00AD13EE"/>
    <w:rsid w:val="00AD44DB"/>
    <w:rsid w:val="00AE6CA5"/>
    <w:rsid w:val="00AE710A"/>
    <w:rsid w:val="00AF31CC"/>
    <w:rsid w:val="00AF5921"/>
    <w:rsid w:val="00AF6358"/>
    <w:rsid w:val="00AF65FE"/>
    <w:rsid w:val="00AF6F84"/>
    <w:rsid w:val="00AF74BE"/>
    <w:rsid w:val="00AF7759"/>
    <w:rsid w:val="00B00A69"/>
    <w:rsid w:val="00B02415"/>
    <w:rsid w:val="00B0302B"/>
    <w:rsid w:val="00B07483"/>
    <w:rsid w:val="00B11924"/>
    <w:rsid w:val="00B1245F"/>
    <w:rsid w:val="00B158E7"/>
    <w:rsid w:val="00B16288"/>
    <w:rsid w:val="00B175D5"/>
    <w:rsid w:val="00B20266"/>
    <w:rsid w:val="00B206E8"/>
    <w:rsid w:val="00B208C8"/>
    <w:rsid w:val="00B20FCB"/>
    <w:rsid w:val="00B2196F"/>
    <w:rsid w:val="00B22403"/>
    <w:rsid w:val="00B239F8"/>
    <w:rsid w:val="00B250E6"/>
    <w:rsid w:val="00B30C2F"/>
    <w:rsid w:val="00B3380E"/>
    <w:rsid w:val="00B3475F"/>
    <w:rsid w:val="00B34F1D"/>
    <w:rsid w:val="00B352D1"/>
    <w:rsid w:val="00B3785C"/>
    <w:rsid w:val="00B4134E"/>
    <w:rsid w:val="00B4140E"/>
    <w:rsid w:val="00B43B7F"/>
    <w:rsid w:val="00B443AC"/>
    <w:rsid w:val="00B458C3"/>
    <w:rsid w:val="00B460D4"/>
    <w:rsid w:val="00B46C4F"/>
    <w:rsid w:val="00B505E0"/>
    <w:rsid w:val="00B50E73"/>
    <w:rsid w:val="00B50E9F"/>
    <w:rsid w:val="00B5274D"/>
    <w:rsid w:val="00B52F26"/>
    <w:rsid w:val="00B54CD7"/>
    <w:rsid w:val="00B5587A"/>
    <w:rsid w:val="00B61A7A"/>
    <w:rsid w:val="00B641F5"/>
    <w:rsid w:val="00B66457"/>
    <w:rsid w:val="00B6740D"/>
    <w:rsid w:val="00B7088C"/>
    <w:rsid w:val="00B73BA9"/>
    <w:rsid w:val="00B74E92"/>
    <w:rsid w:val="00B753D0"/>
    <w:rsid w:val="00B803DA"/>
    <w:rsid w:val="00B8042C"/>
    <w:rsid w:val="00B8227B"/>
    <w:rsid w:val="00B82B84"/>
    <w:rsid w:val="00B83545"/>
    <w:rsid w:val="00B83FD2"/>
    <w:rsid w:val="00B84863"/>
    <w:rsid w:val="00B850C8"/>
    <w:rsid w:val="00B85897"/>
    <w:rsid w:val="00B8619F"/>
    <w:rsid w:val="00B86BB3"/>
    <w:rsid w:val="00B87ADA"/>
    <w:rsid w:val="00B92036"/>
    <w:rsid w:val="00B921EE"/>
    <w:rsid w:val="00B92C66"/>
    <w:rsid w:val="00B93B78"/>
    <w:rsid w:val="00B94C07"/>
    <w:rsid w:val="00B952E6"/>
    <w:rsid w:val="00B95422"/>
    <w:rsid w:val="00B96224"/>
    <w:rsid w:val="00B96C19"/>
    <w:rsid w:val="00BA047D"/>
    <w:rsid w:val="00BA1E44"/>
    <w:rsid w:val="00BA4488"/>
    <w:rsid w:val="00BA62B4"/>
    <w:rsid w:val="00BB0F15"/>
    <w:rsid w:val="00BB19A2"/>
    <w:rsid w:val="00BB5775"/>
    <w:rsid w:val="00BB6582"/>
    <w:rsid w:val="00BB7156"/>
    <w:rsid w:val="00BC09C0"/>
    <w:rsid w:val="00BC101E"/>
    <w:rsid w:val="00BC279D"/>
    <w:rsid w:val="00BC5A8D"/>
    <w:rsid w:val="00BC5ECE"/>
    <w:rsid w:val="00BC620F"/>
    <w:rsid w:val="00BC7388"/>
    <w:rsid w:val="00BD3565"/>
    <w:rsid w:val="00BD7069"/>
    <w:rsid w:val="00BE0103"/>
    <w:rsid w:val="00BE23C5"/>
    <w:rsid w:val="00BE2448"/>
    <w:rsid w:val="00BE3EDF"/>
    <w:rsid w:val="00BE4302"/>
    <w:rsid w:val="00BE4947"/>
    <w:rsid w:val="00BE5645"/>
    <w:rsid w:val="00BE6169"/>
    <w:rsid w:val="00BE6887"/>
    <w:rsid w:val="00BF259C"/>
    <w:rsid w:val="00BF4419"/>
    <w:rsid w:val="00BF4890"/>
    <w:rsid w:val="00BF5753"/>
    <w:rsid w:val="00BF69D1"/>
    <w:rsid w:val="00C0229B"/>
    <w:rsid w:val="00C02772"/>
    <w:rsid w:val="00C039F3"/>
    <w:rsid w:val="00C04BF7"/>
    <w:rsid w:val="00C055FA"/>
    <w:rsid w:val="00C05C6A"/>
    <w:rsid w:val="00C06F81"/>
    <w:rsid w:val="00C1260A"/>
    <w:rsid w:val="00C133D5"/>
    <w:rsid w:val="00C15243"/>
    <w:rsid w:val="00C1751B"/>
    <w:rsid w:val="00C20623"/>
    <w:rsid w:val="00C20A86"/>
    <w:rsid w:val="00C21564"/>
    <w:rsid w:val="00C21880"/>
    <w:rsid w:val="00C22C20"/>
    <w:rsid w:val="00C24DFE"/>
    <w:rsid w:val="00C27BA9"/>
    <w:rsid w:val="00C305A0"/>
    <w:rsid w:val="00C30A1D"/>
    <w:rsid w:val="00C32B43"/>
    <w:rsid w:val="00C33388"/>
    <w:rsid w:val="00C34471"/>
    <w:rsid w:val="00C35E16"/>
    <w:rsid w:val="00C3777C"/>
    <w:rsid w:val="00C408A3"/>
    <w:rsid w:val="00C447D1"/>
    <w:rsid w:val="00C453B5"/>
    <w:rsid w:val="00C45F94"/>
    <w:rsid w:val="00C46EC9"/>
    <w:rsid w:val="00C472A1"/>
    <w:rsid w:val="00C52B9D"/>
    <w:rsid w:val="00C54266"/>
    <w:rsid w:val="00C54733"/>
    <w:rsid w:val="00C5796D"/>
    <w:rsid w:val="00C61EA1"/>
    <w:rsid w:val="00C622F3"/>
    <w:rsid w:val="00C6430A"/>
    <w:rsid w:val="00C66647"/>
    <w:rsid w:val="00C72231"/>
    <w:rsid w:val="00C76744"/>
    <w:rsid w:val="00C770E7"/>
    <w:rsid w:val="00C775DA"/>
    <w:rsid w:val="00C80B21"/>
    <w:rsid w:val="00C812D8"/>
    <w:rsid w:val="00C82EF8"/>
    <w:rsid w:val="00C8404C"/>
    <w:rsid w:val="00C854AC"/>
    <w:rsid w:val="00C86E32"/>
    <w:rsid w:val="00C94C98"/>
    <w:rsid w:val="00C9549E"/>
    <w:rsid w:val="00C967C6"/>
    <w:rsid w:val="00C97366"/>
    <w:rsid w:val="00CA2B30"/>
    <w:rsid w:val="00CA2FDB"/>
    <w:rsid w:val="00CA41D8"/>
    <w:rsid w:val="00CA42C2"/>
    <w:rsid w:val="00CA454E"/>
    <w:rsid w:val="00CA6425"/>
    <w:rsid w:val="00CA71A3"/>
    <w:rsid w:val="00CB2174"/>
    <w:rsid w:val="00CB49DE"/>
    <w:rsid w:val="00CB5069"/>
    <w:rsid w:val="00CB6B43"/>
    <w:rsid w:val="00CC4874"/>
    <w:rsid w:val="00CC58E9"/>
    <w:rsid w:val="00CC5C91"/>
    <w:rsid w:val="00CC6752"/>
    <w:rsid w:val="00CD134A"/>
    <w:rsid w:val="00CD2BF1"/>
    <w:rsid w:val="00CD41ED"/>
    <w:rsid w:val="00CD51DE"/>
    <w:rsid w:val="00CD56E9"/>
    <w:rsid w:val="00CD5772"/>
    <w:rsid w:val="00CD62D9"/>
    <w:rsid w:val="00CD6615"/>
    <w:rsid w:val="00CD7229"/>
    <w:rsid w:val="00CE0DE9"/>
    <w:rsid w:val="00CE6002"/>
    <w:rsid w:val="00CE7273"/>
    <w:rsid w:val="00CE76E2"/>
    <w:rsid w:val="00CF026E"/>
    <w:rsid w:val="00CF0CBB"/>
    <w:rsid w:val="00CF25D7"/>
    <w:rsid w:val="00CF3138"/>
    <w:rsid w:val="00CF4C7B"/>
    <w:rsid w:val="00CF595B"/>
    <w:rsid w:val="00CF65B4"/>
    <w:rsid w:val="00CF6FEC"/>
    <w:rsid w:val="00CF7910"/>
    <w:rsid w:val="00D00223"/>
    <w:rsid w:val="00D00B63"/>
    <w:rsid w:val="00D011D6"/>
    <w:rsid w:val="00D01694"/>
    <w:rsid w:val="00D022CE"/>
    <w:rsid w:val="00D04F6F"/>
    <w:rsid w:val="00D06834"/>
    <w:rsid w:val="00D10357"/>
    <w:rsid w:val="00D11946"/>
    <w:rsid w:val="00D12DF7"/>
    <w:rsid w:val="00D1319B"/>
    <w:rsid w:val="00D205BD"/>
    <w:rsid w:val="00D2273C"/>
    <w:rsid w:val="00D22C96"/>
    <w:rsid w:val="00D22D74"/>
    <w:rsid w:val="00D23934"/>
    <w:rsid w:val="00D23B8F"/>
    <w:rsid w:val="00D252EA"/>
    <w:rsid w:val="00D3065E"/>
    <w:rsid w:val="00D30757"/>
    <w:rsid w:val="00D30909"/>
    <w:rsid w:val="00D31802"/>
    <w:rsid w:val="00D340AA"/>
    <w:rsid w:val="00D34229"/>
    <w:rsid w:val="00D36A2F"/>
    <w:rsid w:val="00D36CAE"/>
    <w:rsid w:val="00D40EC1"/>
    <w:rsid w:val="00D435BE"/>
    <w:rsid w:val="00D435F6"/>
    <w:rsid w:val="00D44479"/>
    <w:rsid w:val="00D44FC0"/>
    <w:rsid w:val="00D4529C"/>
    <w:rsid w:val="00D45F72"/>
    <w:rsid w:val="00D46E86"/>
    <w:rsid w:val="00D50771"/>
    <w:rsid w:val="00D516D2"/>
    <w:rsid w:val="00D52502"/>
    <w:rsid w:val="00D538C8"/>
    <w:rsid w:val="00D54160"/>
    <w:rsid w:val="00D54764"/>
    <w:rsid w:val="00D5631C"/>
    <w:rsid w:val="00D56595"/>
    <w:rsid w:val="00D5692C"/>
    <w:rsid w:val="00D57426"/>
    <w:rsid w:val="00D57E3B"/>
    <w:rsid w:val="00D60AF6"/>
    <w:rsid w:val="00D623A1"/>
    <w:rsid w:val="00D624A4"/>
    <w:rsid w:val="00D6283F"/>
    <w:rsid w:val="00D63CFD"/>
    <w:rsid w:val="00D65E64"/>
    <w:rsid w:val="00D67BE5"/>
    <w:rsid w:val="00D70618"/>
    <w:rsid w:val="00D7071F"/>
    <w:rsid w:val="00D74857"/>
    <w:rsid w:val="00D750AE"/>
    <w:rsid w:val="00D75E81"/>
    <w:rsid w:val="00D760D2"/>
    <w:rsid w:val="00D77884"/>
    <w:rsid w:val="00D800A1"/>
    <w:rsid w:val="00D80260"/>
    <w:rsid w:val="00D8127B"/>
    <w:rsid w:val="00D82BA8"/>
    <w:rsid w:val="00D82D39"/>
    <w:rsid w:val="00D82F44"/>
    <w:rsid w:val="00D86723"/>
    <w:rsid w:val="00D86DC3"/>
    <w:rsid w:val="00D87FD1"/>
    <w:rsid w:val="00D9049A"/>
    <w:rsid w:val="00D910D1"/>
    <w:rsid w:val="00D93E60"/>
    <w:rsid w:val="00D9411E"/>
    <w:rsid w:val="00D94865"/>
    <w:rsid w:val="00D9491F"/>
    <w:rsid w:val="00D958DC"/>
    <w:rsid w:val="00D96429"/>
    <w:rsid w:val="00D9672F"/>
    <w:rsid w:val="00DA0F3D"/>
    <w:rsid w:val="00DA1731"/>
    <w:rsid w:val="00DA2C1A"/>
    <w:rsid w:val="00DA3123"/>
    <w:rsid w:val="00DA434D"/>
    <w:rsid w:val="00DA47FA"/>
    <w:rsid w:val="00DA5413"/>
    <w:rsid w:val="00DA5F31"/>
    <w:rsid w:val="00DA7498"/>
    <w:rsid w:val="00DB035C"/>
    <w:rsid w:val="00DB0CBC"/>
    <w:rsid w:val="00DB20C5"/>
    <w:rsid w:val="00DB48C9"/>
    <w:rsid w:val="00DB5D48"/>
    <w:rsid w:val="00DB602C"/>
    <w:rsid w:val="00DB6835"/>
    <w:rsid w:val="00DB6A09"/>
    <w:rsid w:val="00DB7D0D"/>
    <w:rsid w:val="00DC022F"/>
    <w:rsid w:val="00DC0476"/>
    <w:rsid w:val="00DC0C9D"/>
    <w:rsid w:val="00DC0FCD"/>
    <w:rsid w:val="00DC2432"/>
    <w:rsid w:val="00DC29E9"/>
    <w:rsid w:val="00DC53F3"/>
    <w:rsid w:val="00DC64CD"/>
    <w:rsid w:val="00DC677C"/>
    <w:rsid w:val="00DC7D88"/>
    <w:rsid w:val="00DD2C4F"/>
    <w:rsid w:val="00DE2E23"/>
    <w:rsid w:val="00DE30F8"/>
    <w:rsid w:val="00DE5D52"/>
    <w:rsid w:val="00DF02DE"/>
    <w:rsid w:val="00DF0AEB"/>
    <w:rsid w:val="00DF294B"/>
    <w:rsid w:val="00DF393A"/>
    <w:rsid w:val="00DF4E36"/>
    <w:rsid w:val="00DF681B"/>
    <w:rsid w:val="00DF71D2"/>
    <w:rsid w:val="00DF7F40"/>
    <w:rsid w:val="00E05136"/>
    <w:rsid w:val="00E057A7"/>
    <w:rsid w:val="00E05979"/>
    <w:rsid w:val="00E100B6"/>
    <w:rsid w:val="00E12568"/>
    <w:rsid w:val="00E12BE4"/>
    <w:rsid w:val="00E16894"/>
    <w:rsid w:val="00E16BF2"/>
    <w:rsid w:val="00E17617"/>
    <w:rsid w:val="00E17BFB"/>
    <w:rsid w:val="00E17EA8"/>
    <w:rsid w:val="00E21120"/>
    <w:rsid w:val="00E2346D"/>
    <w:rsid w:val="00E26A7D"/>
    <w:rsid w:val="00E30559"/>
    <w:rsid w:val="00E3183C"/>
    <w:rsid w:val="00E37132"/>
    <w:rsid w:val="00E40C7F"/>
    <w:rsid w:val="00E41FD8"/>
    <w:rsid w:val="00E440CD"/>
    <w:rsid w:val="00E440FE"/>
    <w:rsid w:val="00E44A4F"/>
    <w:rsid w:val="00E46195"/>
    <w:rsid w:val="00E50A50"/>
    <w:rsid w:val="00E514AB"/>
    <w:rsid w:val="00E51EFB"/>
    <w:rsid w:val="00E52DAF"/>
    <w:rsid w:val="00E53D2B"/>
    <w:rsid w:val="00E54BDB"/>
    <w:rsid w:val="00E550EC"/>
    <w:rsid w:val="00E56CEC"/>
    <w:rsid w:val="00E60380"/>
    <w:rsid w:val="00E60827"/>
    <w:rsid w:val="00E608DC"/>
    <w:rsid w:val="00E626FE"/>
    <w:rsid w:val="00E63ABF"/>
    <w:rsid w:val="00E6480B"/>
    <w:rsid w:val="00E6548F"/>
    <w:rsid w:val="00E65C14"/>
    <w:rsid w:val="00E67A1E"/>
    <w:rsid w:val="00E67CDF"/>
    <w:rsid w:val="00E67D75"/>
    <w:rsid w:val="00E7032B"/>
    <w:rsid w:val="00E70572"/>
    <w:rsid w:val="00E715FE"/>
    <w:rsid w:val="00E71F5D"/>
    <w:rsid w:val="00E720D8"/>
    <w:rsid w:val="00E735D5"/>
    <w:rsid w:val="00E7473D"/>
    <w:rsid w:val="00E74E87"/>
    <w:rsid w:val="00E7518D"/>
    <w:rsid w:val="00E75A93"/>
    <w:rsid w:val="00E76618"/>
    <w:rsid w:val="00E76A4A"/>
    <w:rsid w:val="00E76CC0"/>
    <w:rsid w:val="00E80861"/>
    <w:rsid w:val="00E820C7"/>
    <w:rsid w:val="00E823A8"/>
    <w:rsid w:val="00E857F8"/>
    <w:rsid w:val="00E8734E"/>
    <w:rsid w:val="00E874B9"/>
    <w:rsid w:val="00E87F40"/>
    <w:rsid w:val="00E900C5"/>
    <w:rsid w:val="00E9319E"/>
    <w:rsid w:val="00E93D71"/>
    <w:rsid w:val="00E944D1"/>
    <w:rsid w:val="00E95970"/>
    <w:rsid w:val="00E96E28"/>
    <w:rsid w:val="00E9764A"/>
    <w:rsid w:val="00E97943"/>
    <w:rsid w:val="00EA0340"/>
    <w:rsid w:val="00EA36B0"/>
    <w:rsid w:val="00EA3A68"/>
    <w:rsid w:val="00EA42D1"/>
    <w:rsid w:val="00EA4F02"/>
    <w:rsid w:val="00EA5822"/>
    <w:rsid w:val="00EA7547"/>
    <w:rsid w:val="00EB0E55"/>
    <w:rsid w:val="00EB1BA9"/>
    <w:rsid w:val="00EB2617"/>
    <w:rsid w:val="00EB2BFF"/>
    <w:rsid w:val="00EB4F11"/>
    <w:rsid w:val="00EB7D16"/>
    <w:rsid w:val="00EC4DE3"/>
    <w:rsid w:val="00EC5645"/>
    <w:rsid w:val="00EC5EDF"/>
    <w:rsid w:val="00EC6320"/>
    <w:rsid w:val="00EC6355"/>
    <w:rsid w:val="00EC7288"/>
    <w:rsid w:val="00EC74DC"/>
    <w:rsid w:val="00ED148E"/>
    <w:rsid w:val="00ED1E66"/>
    <w:rsid w:val="00ED2FAD"/>
    <w:rsid w:val="00EE104D"/>
    <w:rsid w:val="00EE1057"/>
    <w:rsid w:val="00EE1EEF"/>
    <w:rsid w:val="00EE3CEB"/>
    <w:rsid w:val="00EE3D97"/>
    <w:rsid w:val="00EE4ED2"/>
    <w:rsid w:val="00EE75D6"/>
    <w:rsid w:val="00EF125B"/>
    <w:rsid w:val="00EF28B3"/>
    <w:rsid w:val="00EF4038"/>
    <w:rsid w:val="00EF441F"/>
    <w:rsid w:val="00EF4D55"/>
    <w:rsid w:val="00EF63F4"/>
    <w:rsid w:val="00F003B6"/>
    <w:rsid w:val="00F015A4"/>
    <w:rsid w:val="00F0181F"/>
    <w:rsid w:val="00F01D29"/>
    <w:rsid w:val="00F01D5A"/>
    <w:rsid w:val="00F0206F"/>
    <w:rsid w:val="00F022BE"/>
    <w:rsid w:val="00F0316B"/>
    <w:rsid w:val="00F05F89"/>
    <w:rsid w:val="00F10E63"/>
    <w:rsid w:val="00F12FC1"/>
    <w:rsid w:val="00F147A1"/>
    <w:rsid w:val="00F2359D"/>
    <w:rsid w:val="00F25453"/>
    <w:rsid w:val="00F27379"/>
    <w:rsid w:val="00F301D5"/>
    <w:rsid w:val="00F315A0"/>
    <w:rsid w:val="00F31644"/>
    <w:rsid w:val="00F31B7E"/>
    <w:rsid w:val="00F35112"/>
    <w:rsid w:val="00F352DB"/>
    <w:rsid w:val="00F36003"/>
    <w:rsid w:val="00F37029"/>
    <w:rsid w:val="00F37050"/>
    <w:rsid w:val="00F404A7"/>
    <w:rsid w:val="00F41834"/>
    <w:rsid w:val="00F41F72"/>
    <w:rsid w:val="00F43429"/>
    <w:rsid w:val="00F44866"/>
    <w:rsid w:val="00F44D62"/>
    <w:rsid w:val="00F508FC"/>
    <w:rsid w:val="00F514B3"/>
    <w:rsid w:val="00F521D9"/>
    <w:rsid w:val="00F52DA1"/>
    <w:rsid w:val="00F53037"/>
    <w:rsid w:val="00F54492"/>
    <w:rsid w:val="00F5491C"/>
    <w:rsid w:val="00F54F24"/>
    <w:rsid w:val="00F559DD"/>
    <w:rsid w:val="00F6157F"/>
    <w:rsid w:val="00F6231F"/>
    <w:rsid w:val="00F647D3"/>
    <w:rsid w:val="00F65462"/>
    <w:rsid w:val="00F66DE2"/>
    <w:rsid w:val="00F674CF"/>
    <w:rsid w:val="00F67842"/>
    <w:rsid w:val="00F67C40"/>
    <w:rsid w:val="00F703C2"/>
    <w:rsid w:val="00F72E3C"/>
    <w:rsid w:val="00F74816"/>
    <w:rsid w:val="00F750D8"/>
    <w:rsid w:val="00F84C43"/>
    <w:rsid w:val="00F85ACE"/>
    <w:rsid w:val="00F86781"/>
    <w:rsid w:val="00F90100"/>
    <w:rsid w:val="00F913AE"/>
    <w:rsid w:val="00F9174A"/>
    <w:rsid w:val="00F922F2"/>
    <w:rsid w:val="00F93BC3"/>
    <w:rsid w:val="00F945D0"/>
    <w:rsid w:val="00F97108"/>
    <w:rsid w:val="00FA1DAB"/>
    <w:rsid w:val="00FA1DFD"/>
    <w:rsid w:val="00FA32EA"/>
    <w:rsid w:val="00FA4582"/>
    <w:rsid w:val="00FA50F4"/>
    <w:rsid w:val="00FA53CA"/>
    <w:rsid w:val="00FA585E"/>
    <w:rsid w:val="00FA59AF"/>
    <w:rsid w:val="00FA7BB6"/>
    <w:rsid w:val="00FB0BFA"/>
    <w:rsid w:val="00FB0BFE"/>
    <w:rsid w:val="00FB14B4"/>
    <w:rsid w:val="00FB1D0E"/>
    <w:rsid w:val="00FB32AC"/>
    <w:rsid w:val="00FB3410"/>
    <w:rsid w:val="00FB5597"/>
    <w:rsid w:val="00FB617C"/>
    <w:rsid w:val="00FB7B41"/>
    <w:rsid w:val="00FC0E73"/>
    <w:rsid w:val="00FC0EF9"/>
    <w:rsid w:val="00FC14C1"/>
    <w:rsid w:val="00FC38FE"/>
    <w:rsid w:val="00FC5421"/>
    <w:rsid w:val="00FC792B"/>
    <w:rsid w:val="00FD2247"/>
    <w:rsid w:val="00FD2361"/>
    <w:rsid w:val="00FD2DCE"/>
    <w:rsid w:val="00FD3CE3"/>
    <w:rsid w:val="00FD3D0C"/>
    <w:rsid w:val="00FD4DEA"/>
    <w:rsid w:val="00FE1250"/>
    <w:rsid w:val="00FE494F"/>
    <w:rsid w:val="00FE614C"/>
    <w:rsid w:val="00FE683E"/>
    <w:rsid w:val="00FE68FB"/>
    <w:rsid w:val="00FF57AA"/>
    <w:rsid w:val="00FF67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3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D7"/>
  </w:style>
  <w:style w:type="paragraph" w:styleId="Heading1">
    <w:name w:val="heading 1"/>
    <w:basedOn w:val="Normal"/>
    <w:next w:val="Normal"/>
    <w:link w:val="Heading1Char"/>
    <w:uiPriority w:val="9"/>
    <w:qFormat/>
    <w:rsid w:val="0029760E"/>
    <w:pPr>
      <w:keepNext/>
      <w:keepLines/>
      <w:spacing w:before="360" w:after="360" w:line="240" w:lineRule="auto"/>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BC620F"/>
    <w:pPr>
      <w:keepNext/>
      <w:keepLines/>
      <w:spacing w:before="360" w:after="360" w:line="240" w:lineRule="auto"/>
      <w:ind w:left="567"/>
      <w:outlineLvl w:val="1"/>
    </w:pPr>
    <w:rPr>
      <w:rFonts w:ascii="Calibri" w:eastAsiaTheme="majorEastAsia" w:hAnsi="Calibri" w:cs="Times New Roman"/>
      <w:b/>
      <w:bCs/>
      <w:sz w:val="24"/>
      <w:szCs w:val="24"/>
    </w:rPr>
  </w:style>
  <w:style w:type="paragraph" w:styleId="Heading3">
    <w:name w:val="heading 3"/>
    <w:basedOn w:val="Normal"/>
    <w:next w:val="Normal"/>
    <w:link w:val="Heading3Char"/>
    <w:uiPriority w:val="9"/>
    <w:unhideWhenUsed/>
    <w:qFormat/>
    <w:rsid w:val="00BC620F"/>
    <w:pPr>
      <w:keepNext/>
      <w:keepLines/>
      <w:spacing w:before="200" w:after="120" w:line="240" w:lineRule="auto"/>
      <w:ind w:left="851"/>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D748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485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48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48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48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48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7485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429FF"/>
    <w:rPr>
      <w:rFonts w:ascii="Lucida Grande" w:hAnsi="Lucida Grande"/>
      <w:sz w:val="18"/>
      <w:szCs w:val="18"/>
    </w:rPr>
  </w:style>
  <w:style w:type="character" w:customStyle="1" w:styleId="BalloonTextChar0">
    <w:name w:val="Balloon Text Char"/>
    <w:basedOn w:val="DefaultParagraphFont"/>
    <w:uiPriority w:val="99"/>
    <w:semiHidden/>
    <w:rsid w:val="008B02EE"/>
    <w:rPr>
      <w:rFonts w:ascii="Lucida Grande" w:hAnsi="Lucida Grande"/>
      <w:sz w:val="18"/>
      <w:szCs w:val="18"/>
    </w:rPr>
  </w:style>
  <w:style w:type="character" w:customStyle="1" w:styleId="BalloonTextChar2">
    <w:name w:val="Balloon Text Char"/>
    <w:basedOn w:val="DefaultParagraphFont"/>
    <w:uiPriority w:val="99"/>
    <w:semiHidden/>
    <w:rsid w:val="001E00A0"/>
    <w:rPr>
      <w:rFonts w:ascii="Lucida Grande" w:hAnsi="Lucida Grande"/>
      <w:sz w:val="18"/>
      <w:szCs w:val="18"/>
    </w:rPr>
  </w:style>
  <w:style w:type="character" w:customStyle="1" w:styleId="BalloonTextChar3">
    <w:name w:val="Balloon Text Char"/>
    <w:basedOn w:val="DefaultParagraphFont"/>
    <w:uiPriority w:val="99"/>
    <w:semiHidden/>
    <w:rsid w:val="001E00A0"/>
    <w:rPr>
      <w:rFonts w:ascii="Lucida Grande" w:hAnsi="Lucida Grande"/>
      <w:sz w:val="18"/>
      <w:szCs w:val="18"/>
    </w:rPr>
  </w:style>
  <w:style w:type="character" w:customStyle="1" w:styleId="BalloonTextChar4">
    <w:name w:val="Balloon Text Char"/>
    <w:basedOn w:val="DefaultParagraphFont"/>
    <w:uiPriority w:val="99"/>
    <w:semiHidden/>
    <w:rsid w:val="00BC2EBE"/>
    <w:rPr>
      <w:rFonts w:ascii="Lucida Grande" w:hAnsi="Lucida Grande"/>
      <w:sz w:val="18"/>
      <w:szCs w:val="18"/>
    </w:rPr>
  </w:style>
  <w:style w:type="character" w:customStyle="1" w:styleId="Heading1Char">
    <w:name w:val="Heading 1 Char"/>
    <w:basedOn w:val="DefaultParagraphFont"/>
    <w:link w:val="Heading1"/>
    <w:uiPriority w:val="9"/>
    <w:rsid w:val="0029760E"/>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BC620F"/>
    <w:rPr>
      <w:rFonts w:ascii="Calibri" w:eastAsiaTheme="majorEastAsia" w:hAnsi="Calibri" w:cs="Times New Roman"/>
      <w:b/>
      <w:bCs/>
      <w:sz w:val="24"/>
      <w:szCs w:val="24"/>
    </w:rPr>
  </w:style>
  <w:style w:type="character" w:customStyle="1" w:styleId="Heading3Char">
    <w:name w:val="Heading 3 Char"/>
    <w:basedOn w:val="DefaultParagraphFont"/>
    <w:link w:val="Heading3"/>
    <w:uiPriority w:val="9"/>
    <w:rsid w:val="00BC620F"/>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D74857"/>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D74857"/>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D74857"/>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D74857"/>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D74857"/>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D74857"/>
    <w:rPr>
      <w:rFonts w:asciiTheme="majorHAnsi" w:eastAsiaTheme="majorEastAsia" w:hAnsiTheme="majorHAnsi" w:cstheme="majorBidi"/>
      <w:i/>
      <w:iCs/>
      <w:color w:val="404040" w:themeColor="text1" w:themeTint="BF"/>
      <w:sz w:val="20"/>
      <w:szCs w:val="20"/>
      <w:lang w:eastAsia="en-AU"/>
    </w:rPr>
  </w:style>
  <w:style w:type="paragraph" w:styleId="Title">
    <w:name w:val="Title"/>
    <w:basedOn w:val="Normal"/>
    <w:next w:val="Normal"/>
    <w:link w:val="TitleChar"/>
    <w:uiPriority w:val="10"/>
    <w:qFormat/>
    <w:rsid w:val="00D748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857"/>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D748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4857"/>
    <w:rPr>
      <w:rFonts w:asciiTheme="majorHAnsi" w:eastAsiaTheme="majorEastAsia" w:hAnsiTheme="majorHAnsi" w:cstheme="majorBidi"/>
      <w:i/>
      <w:iCs/>
      <w:color w:val="4F81BD" w:themeColor="accent1"/>
      <w:spacing w:val="15"/>
      <w:sz w:val="24"/>
      <w:szCs w:val="24"/>
      <w:lang w:eastAsia="en-AU"/>
    </w:rPr>
  </w:style>
  <w:style w:type="character" w:styleId="Strong">
    <w:name w:val="Strong"/>
    <w:uiPriority w:val="22"/>
    <w:qFormat/>
    <w:rsid w:val="00D74857"/>
    <w:rPr>
      <w:b/>
      <w:bCs/>
    </w:rPr>
  </w:style>
  <w:style w:type="character" w:styleId="Emphasis">
    <w:name w:val="Emphasis"/>
    <w:basedOn w:val="DefaultParagraphFont"/>
    <w:uiPriority w:val="20"/>
    <w:qFormat/>
    <w:rsid w:val="00D74857"/>
    <w:rPr>
      <w:i/>
      <w:iCs/>
    </w:rPr>
  </w:style>
  <w:style w:type="paragraph" w:styleId="NoSpacing">
    <w:name w:val="No Spacing"/>
    <w:basedOn w:val="Normal"/>
    <w:uiPriority w:val="1"/>
    <w:qFormat/>
    <w:rsid w:val="00D74857"/>
    <w:pPr>
      <w:spacing w:after="0" w:line="240" w:lineRule="auto"/>
    </w:pPr>
  </w:style>
  <w:style w:type="paragraph" w:styleId="ListParagraph">
    <w:name w:val="List Paragraph"/>
    <w:basedOn w:val="Normal"/>
    <w:qFormat/>
    <w:rsid w:val="00D74857"/>
    <w:pPr>
      <w:ind w:left="720"/>
      <w:contextualSpacing/>
    </w:pPr>
  </w:style>
  <w:style w:type="paragraph" w:styleId="Quote">
    <w:name w:val="Quote"/>
    <w:basedOn w:val="Normal"/>
    <w:next w:val="Normal"/>
    <w:link w:val="QuoteChar"/>
    <w:uiPriority w:val="29"/>
    <w:qFormat/>
    <w:rsid w:val="00D74857"/>
    <w:rPr>
      <w:i/>
      <w:iCs/>
      <w:color w:val="000000" w:themeColor="text1"/>
    </w:rPr>
  </w:style>
  <w:style w:type="character" w:customStyle="1" w:styleId="QuoteChar">
    <w:name w:val="Quote Char"/>
    <w:basedOn w:val="DefaultParagraphFont"/>
    <w:link w:val="Quote"/>
    <w:uiPriority w:val="29"/>
    <w:rsid w:val="00D74857"/>
    <w:rPr>
      <w:rFonts w:eastAsiaTheme="minorEastAsia"/>
      <w:i/>
      <w:iCs/>
      <w:color w:val="000000" w:themeColor="text1"/>
      <w:lang w:eastAsia="en-AU"/>
    </w:rPr>
  </w:style>
  <w:style w:type="paragraph" w:styleId="IntenseQuote">
    <w:name w:val="Intense Quote"/>
    <w:basedOn w:val="Normal"/>
    <w:next w:val="Normal"/>
    <w:link w:val="IntenseQuoteChar"/>
    <w:uiPriority w:val="30"/>
    <w:qFormat/>
    <w:rsid w:val="00D748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4857"/>
    <w:rPr>
      <w:rFonts w:eastAsiaTheme="minorEastAsia"/>
      <w:b/>
      <w:bCs/>
      <w:i/>
      <w:iCs/>
      <w:color w:val="4F81BD" w:themeColor="accent1"/>
      <w:lang w:eastAsia="en-AU"/>
    </w:rPr>
  </w:style>
  <w:style w:type="character" w:styleId="SubtleEmphasis">
    <w:name w:val="Subtle Emphasis"/>
    <w:uiPriority w:val="19"/>
    <w:qFormat/>
    <w:rsid w:val="00D74857"/>
    <w:rPr>
      <w:i/>
      <w:iCs/>
      <w:color w:val="808080" w:themeColor="text1" w:themeTint="7F"/>
    </w:rPr>
  </w:style>
  <w:style w:type="character" w:styleId="IntenseEmphasis">
    <w:name w:val="Intense Emphasis"/>
    <w:uiPriority w:val="21"/>
    <w:qFormat/>
    <w:rsid w:val="00D74857"/>
    <w:rPr>
      <w:b/>
      <w:bCs/>
      <w:i/>
      <w:iCs/>
      <w:color w:val="4F81BD" w:themeColor="accent1"/>
    </w:rPr>
  </w:style>
  <w:style w:type="character" w:styleId="SubtleReference">
    <w:name w:val="Subtle Reference"/>
    <w:uiPriority w:val="31"/>
    <w:qFormat/>
    <w:rsid w:val="00D74857"/>
    <w:rPr>
      <w:smallCaps/>
      <w:color w:val="C0504D" w:themeColor="accent2"/>
      <w:u w:val="single"/>
    </w:rPr>
  </w:style>
  <w:style w:type="character" w:styleId="IntenseReference">
    <w:name w:val="Intense Reference"/>
    <w:uiPriority w:val="32"/>
    <w:qFormat/>
    <w:rsid w:val="00D74857"/>
    <w:rPr>
      <w:b/>
      <w:bCs/>
      <w:smallCaps/>
      <w:color w:val="C0504D" w:themeColor="accent2"/>
      <w:spacing w:val="5"/>
      <w:u w:val="single"/>
    </w:rPr>
  </w:style>
  <w:style w:type="character" w:styleId="BookTitle">
    <w:name w:val="Book Title"/>
    <w:uiPriority w:val="33"/>
    <w:qFormat/>
    <w:rsid w:val="00D74857"/>
    <w:rPr>
      <w:b/>
      <w:bCs/>
      <w:smallCaps/>
      <w:spacing w:val="5"/>
    </w:rPr>
  </w:style>
  <w:style w:type="paragraph" w:styleId="TOCHeading">
    <w:name w:val="TOC Heading"/>
    <w:basedOn w:val="Heading1"/>
    <w:next w:val="Normal"/>
    <w:uiPriority w:val="39"/>
    <w:unhideWhenUsed/>
    <w:qFormat/>
    <w:rsid w:val="00D74857"/>
    <w:pPr>
      <w:outlineLvl w:val="9"/>
    </w:pPr>
  </w:style>
  <w:style w:type="character" w:customStyle="1" w:styleId="BalloonTextChar1">
    <w:name w:val="Balloon Text Char1"/>
    <w:basedOn w:val="DefaultParagraphFont"/>
    <w:link w:val="BalloonText"/>
    <w:uiPriority w:val="99"/>
    <w:semiHidden/>
    <w:rsid w:val="00D74857"/>
    <w:rPr>
      <w:rFonts w:ascii="Tahoma" w:eastAsiaTheme="minorEastAsia" w:hAnsi="Tahoma" w:cs="Tahoma"/>
      <w:sz w:val="16"/>
      <w:szCs w:val="16"/>
      <w:lang w:eastAsia="en-AU"/>
    </w:rPr>
  </w:style>
  <w:style w:type="paragraph" w:styleId="Header">
    <w:name w:val="header"/>
    <w:basedOn w:val="Normal"/>
    <w:link w:val="HeaderChar"/>
    <w:uiPriority w:val="99"/>
    <w:unhideWhenUsed/>
    <w:rsid w:val="00D74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857"/>
    <w:rPr>
      <w:rFonts w:eastAsiaTheme="minorEastAsia"/>
      <w:lang w:eastAsia="en-AU"/>
    </w:rPr>
  </w:style>
  <w:style w:type="paragraph" w:styleId="Footer">
    <w:name w:val="footer"/>
    <w:basedOn w:val="Normal"/>
    <w:link w:val="FooterChar"/>
    <w:uiPriority w:val="99"/>
    <w:unhideWhenUsed/>
    <w:rsid w:val="00D74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857"/>
    <w:rPr>
      <w:rFonts w:eastAsiaTheme="minorEastAsia"/>
      <w:lang w:eastAsia="en-AU"/>
    </w:rPr>
  </w:style>
  <w:style w:type="character" w:styleId="Hyperlink">
    <w:name w:val="Hyperlink"/>
    <w:basedOn w:val="DefaultParagraphFont"/>
    <w:uiPriority w:val="99"/>
    <w:unhideWhenUsed/>
    <w:rsid w:val="00D74857"/>
    <w:rPr>
      <w:color w:val="0000FF" w:themeColor="hyperlink"/>
      <w:u w:val="single"/>
    </w:rPr>
  </w:style>
  <w:style w:type="character" w:styleId="FollowedHyperlink">
    <w:name w:val="FollowedHyperlink"/>
    <w:basedOn w:val="DefaultParagraphFont"/>
    <w:uiPriority w:val="99"/>
    <w:semiHidden/>
    <w:unhideWhenUsed/>
    <w:rsid w:val="00D74857"/>
    <w:rPr>
      <w:color w:val="800080" w:themeColor="followedHyperlink"/>
      <w:u w:val="single"/>
    </w:rPr>
  </w:style>
  <w:style w:type="paragraph" w:styleId="NormalWeb">
    <w:name w:val="Normal (Web)"/>
    <w:basedOn w:val="Normal"/>
    <w:uiPriority w:val="99"/>
    <w:unhideWhenUsed/>
    <w:rsid w:val="00D7485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9760E"/>
    <w:pPr>
      <w:spacing w:after="0" w:line="240" w:lineRule="auto"/>
    </w:pPr>
    <w:rPr>
      <w:rFonts w:ascii="Cambria" w:hAnsi="Cambria"/>
      <w:sz w:val="20"/>
      <w:szCs w:val="16"/>
      <w:lang w:val="en-US"/>
    </w:rPr>
  </w:style>
  <w:style w:type="character" w:customStyle="1" w:styleId="FootnoteTextChar">
    <w:name w:val="Footnote Text Char"/>
    <w:basedOn w:val="DefaultParagraphFont"/>
    <w:link w:val="FootnoteText"/>
    <w:uiPriority w:val="99"/>
    <w:rsid w:val="0029760E"/>
    <w:rPr>
      <w:rFonts w:ascii="Cambria" w:hAnsi="Cambria"/>
      <w:sz w:val="20"/>
      <w:szCs w:val="16"/>
      <w:lang w:val="en-US"/>
    </w:rPr>
  </w:style>
  <w:style w:type="character" w:styleId="FootnoteReference">
    <w:name w:val="footnote reference"/>
    <w:basedOn w:val="DefaultParagraphFont"/>
    <w:uiPriority w:val="99"/>
    <w:unhideWhenUsed/>
    <w:rsid w:val="001277CA"/>
    <w:rPr>
      <w:rFonts w:ascii="Times New Roman" w:hAnsi="Times New Roman"/>
      <w:sz w:val="22"/>
      <w:vertAlign w:val="superscript"/>
    </w:rPr>
  </w:style>
  <w:style w:type="character" w:styleId="CommentReference">
    <w:name w:val="annotation reference"/>
    <w:basedOn w:val="DefaultParagraphFont"/>
    <w:uiPriority w:val="99"/>
    <w:semiHidden/>
    <w:unhideWhenUsed/>
    <w:rsid w:val="00D74857"/>
    <w:rPr>
      <w:sz w:val="16"/>
      <w:szCs w:val="16"/>
    </w:rPr>
  </w:style>
  <w:style w:type="paragraph" w:styleId="CommentText">
    <w:name w:val="annotation text"/>
    <w:basedOn w:val="Normal"/>
    <w:link w:val="CommentTextChar"/>
    <w:uiPriority w:val="99"/>
    <w:unhideWhenUsed/>
    <w:rsid w:val="00630416"/>
    <w:pPr>
      <w:spacing w:line="240" w:lineRule="auto"/>
    </w:pPr>
    <w:rPr>
      <w:szCs w:val="20"/>
    </w:rPr>
  </w:style>
  <w:style w:type="character" w:customStyle="1" w:styleId="CommentTextChar">
    <w:name w:val="Comment Text Char"/>
    <w:basedOn w:val="DefaultParagraphFont"/>
    <w:link w:val="CommentText"/>
    <w:uiPriority w:val="99"/>
    <w:rsid w:val="00630416"/>
    <w:rPr>
      <w:rFonts w:eastAsiaTheme="minorEastAsia"/>
      <w:szCs w:val="20"/>
      <w:lang w:eastAsia="en-AU"/>
    </w:rPr>
  </w:style>
  <w:style w:type="paragraph" w:styleId="CommentSubject">
    <w:name w:val="annotation subject"/>
    <w:basedOn w:val="CommentText"/>
    <w:next w:val="CommentText"/>
    <w:link w:val="CommentSubjectChar"/>
    <w:uiPriority w:val="99"/>
    <w:semiHidden/>
    <w:unhideWhenUsed/>
    <w:rsid w:val="00D74857"/>
    <w:rPr>
      <w:b/>
      <w:bCs/>
    </w:rPr>
  </w:style>
  <w:style w:type="character" w:customStyle="1" w:styleId="CommentSubjectChar">
    <w:name w:val="Comment Subject Char"/>
    <w:basedOn w:val="CommentTextChar"/>
    <w:link w:val="CommentSubject"/>
    <w:uiPriority w:val="99"/>
    <w:semiHidden/>
    <w:rsid w:val="00D74857"/>
    <w:rPr>
      <w:rFonts w:eastAsiaTheme="minorEastAsia"/>
      <w:b/>
      <w:bCs/>
      <w:sz w:val="20"/>
      <w:szCs w:val="20"/>
      <w:lang w:eastAsia="en-AU"/>
    </w:rPr>
  </w:style>
  <w:style w:type="character" w:customStyle="1" w:styleId="citation">
    <w:name w:val="citation"/>
    <w:basedOn w:val="DefaultParagraphFont"/>
    <w:rsid w:val="00D74857"/>
  </w:style>
  <w:style w:type="paragraph" w:customStyle="1" w:styleId="EndNoteBibliographyTitle">
    <w:name w:val="EndNote Bibliography Title"/>
    <w:basedOn w:val="Normal"/>
    <w:link w:val="EndNoteBibliographyTitleChar"/>
    <w:rsid w:val="00D74857"/>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D74857"/>
    <w:rPr>
      <w:rFonts w:ascii="Times New Roman" w:eastAsiaTheme="minorEastAsia" w:hAnsi="Times New Roman" w:cs="Times New Roman"/>
      <w:noProof/>
      <w:lang w:eastAsia="en-AU"/>
    </w:rPr>
  </w:style>
  <w:style w:type="paragraph" w:customStyle="1" w:styleId="EndNoteBibliography">
    <w:name w:val="EndNote Bibliography"/>
    <w:basedOn w:val="Normal"/>
    <w:link w:val="EndNoteBibliographyChar"/>
    <w:rsid w:val="00D74857"/>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D74857"/>
    <w:rPr>
      <w:rFonts w:ascii="Times New Roman" w:eastAsiaTheme="minorEastAsia" w:hAnsi="Times New Roman" w:cs="Times New Roman"/>
      <w:noProof/>
      <w:lang w:eastAsia="en-AU"/>
    </w:rPr>
  </w:style>
  <w:style w:type="paragraph" w:styleId="Revision">
    <w:name w:val="Revision"/>
    <w:hidden/>
    <w:uiPriority w:val="99"/>
    <w:semiHidden/>
    <w:rsid w:val="00D74857"/>
    <w:pPr>
      <w:spacing w:after="0" w:line="240" w:lineRule="auto"/>
    </w:pPr>
  </w:style>
  <w:style w:type="paragraph" w:customStyle="1" w:styleId="Default">
    <w:name w:val="Default"/>
    <w:rsid w:val="00D74857"/>
    <w:pPr>
      <w:autoSpaceDE w:val="0"/>
      <w:autoSpaceDN w:val="0"/>
      <w:adjustRightInd w:val="0"/>
      <w:spacing w:after="0" w:line="240" w:lineRule="auto"/>
    </w:pPr>
    <w:rPr>
      <w:rFonts w:ascii="Arial" w:hAnsi="Arial" w:cs="Arial"/>
      <w:color w:val="000000"/>
      <w:sz w:val="24"/>
      <w:szCs w:val="24"/>
    </w:rPr>
  </w:style>
  <w:style w:type="paragraph" w:customStyle="1" w:styleId="para">
    <w:name w:val="para"/>
    <w:basedOn w:val="Normal"/>
    <w:rsid w:val="00D74857"/>
    <w:pPr>
      <w:spacing w:before="100" w:beforeAutospacing="1" w:after="100" w:afterAutospacing="1" w:line="240" w:lineRule="auto"/>
    </w:pPr>
    <w:rPr>
      <w:rFonts w:ascii="Segoe UI" w:eastAsia="Times New Roman" w:hAnsi="Segoe UI" w:cs="Segoe UI"/>
      <w:color w:val="333333"/>
      <w:sz w:val="21"/>
      <w:szCs w:val="21"/>
    </w:rPr>
  </w:style>
  <w:style w:type="paragraph" w:customStyle="1" w:styleId="normal-text">
    <w:name w:val="normal-text"/>
    <w:basedOn w:val="Normal"/>
    <w:rsid w:val="00D74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1">
    <w:name w:val="style121"/>
    <w:basedOn w:val="DefaultParagraphFont"/>
    <w:rsid w:val="00D74857"/>
    <w:rPr>
      <w:sz w:val="16"/>
      <w:szCs w:val="16"/>
    </w:rPr>
  </w:style>
  <w:style w:type="paragraph" w:styleId="BodyText">
    <w:name w:val="Body Text"/>
    <w:basedOn w:val="Normal"/>
    <w:link w:val="BodyTextChar"/>
    <w:rsid w:val="00D74857"/>
    <w:pPr>
      <w:autoSpaceDE w:val="0"/>
      <w:autoSpaceDN w:val="0"/>
      <w:spacing w:after="12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74857"/>
    <w:rPr>
      <w:rFonts w:ascii="Times New Roman" w:eastAsia="Times New Roman" w:hAnsi="Times New Roman" w:cs="Times New Roman"/>
      <w:sz w:val="24"/>
      <w:szCs w:val="20"/>
      <w:lang w:eastAsia="en-AU"/>
    </w:rPr>
  </w:style>
  <w:style w:type="paragraph" w:styleId="EndnoteText">
    <w:name w:val="endnote text"/>
    <w:basedOn w:val="Normal"/>
    <w:link w:val="EndnoteTextChar"/>
    <w:uiPriority w:val="99"/>
    <w:unhideWhenUsed/>
    <w:rsid w:val="00BF4419"/>
    <w:pPr>
      <w:spacing w:after="0" w:line="240" w:lineRule="auto"/>
    </w:pPr>
    <w:rPr>
      <w:sz w:val="24"/>
      <w:szCs w:val="24"/>
    </w:rPr>
  </w:style>
  <w:style w:type="character" w:customStyle="1" w:styleId="EndnoteTextChar">
    <w:name w:val="Endnote Text Char"/>
    <w:basedOn w:val="DefaultParagraphFont"/>
    <w:link w:val="EndnoteText"/>
    <w:uiPriority w:val="99"/>
    <w:rsid w:val="00BF4419"/>
    <w:rPr>
      <w:rFonts w:eastAsiaTheme="minorEastAsia"/>
      <w:sz w:val="24"/>
      <w:szCs w:val="24"/>
      <w:lang w:eastAsia="en-AU"/>
    </w:rPr>
  </w:style>
  <w:style w:type="character" w:styleId="EndnoteReference">
    <w:name w:val="endnote reference"/>
    <w:basedOn w:val="DefaultParagraphFont"/>
    <w:uiPriority w:val="99"/>
    <w:unhideWhenUsed/>
    <w:rsid w:val="00BC620F"/>
    <w:rPr>
      <w:color w:val="0D0D0D" w:themeColor="text1" w:themeTint="F2"/>
      <w:vertAlign w:val="superscript"/>
    </w:rPr>
  </w:style>
  <w:style w:type="paragraph" w:styleId="TOC2">
    <w:name w:val="toc 2"/>
    <w:basedOn w:val="Normal"/>
    <w:next w:val="Normal"/>
    <w:autoRedefine/>
    <w:uiPriority w:val="39"/>
    <w:unhideWhenUsed/>
    <w:rsid w:val="00BC620F"/>
    <w:pPr>
      <w:tabs>
        <w:tab w:val="right" w:leader="dot" w:pos="9016"/>
      </w:tabs>
      <w:spacing w:after="0"/>
      <w:ind w:left="340"/>
    </w:pPr>
    <w:rPr>
      <w:rFonts w:ascii="Calibri" w:hAnsi="Calibri"/>
    </w:rPr>
  </w:style>
  <w:style w:type="paragraph" w:styleId="TOC1">
    <w:name w:val="toc 1"/>
    <w:basedOn w:val="Normal"/>
    <w:next w:val="Normal"/>
    <w:autoRedefine/>
    <w:uiPriority w:val="39"/>
    <w:unhideWhenUsed/>
    <w:rsid w:val="00A07050"/>
    <w:pPr>
      <w:tabs>
        <w:tab w:val="right" w:leader="dot" w:pos="9016"/>
      </w:tabs>
      <w:spacing w:after="0" w:line="240" w:lineRule="auto"/>
    </w:pPr>
    <w:rPr>
      <w:rFonts w:ascii="Calibri" w:hAnsi="Calibri"/>
      <w:szCs w:val="24"/>
    </w:rPr>
  </w:style>
  <w:style w:type="paragraph" w:styleId="TOC3">
    <w:name w:val="toc 3"/>
    <w:basedOn w:val="Normal"/>
    <w:next w:val="Normal"/>
    <w:autoRedefine/>
    <w:uiPriority w:val="39"/>
    <w:unhideWhenUsed/>
    <w:rsid w:val="00BC620F"/>
    <w:pPr>
      <w:spacing w:after="0"/>
      <w:ind w:left="567"/>
    </w:pPr>
    <w:rPr>
      <w:rFonts w:ascii="Calibri" w:hAnsi="Calibri"/>
      <w:i/>
    </w:rPr>
  </w:style>
  <w:style w:type="paragraph" w:styleId="TOC4">
    <w:name w:val="toc 4"/>
    <w:basedOn w:val="Normal"/>
    <w:next w:val="Normal"/>
    <w:autoRedefine/>
    <w:uiPriority w:val="39"/>
    <w:unhideWhenUsed/>
    <w:rsid w:val="00BF4419"/>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BF4419"/>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BF4419"/>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BF4419"/>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BF4419"/>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BF4419"/>
    <w:pPr>
      <w:pBdr>
        <w:between w:val="double" w:sz="6" w:space="0" w:color="auto"/>
      </w:pBdr>
      <w:spacing w:after="0"/>
      <w:ind w:left="1540"/>
    </w:pPr>
    <w:rPr>
      <w:sz w:val="20"/>
      <w:szCs w:val="20"/>
    </w:rPr>
  </w:style>
  <w:style w:type="character" w:styleId="PageNumber">
    <w:name w:val="page number"/>
    <w:basedOn w:val="DefaultParagraphFont"/>
    <w:uiPriority w:val="99"/>
    <w:semiHidden/>
    <w:unhideWhenUsed/>
    <w:rsid w:val="006D7AE7"/>
  </w:style>
  <w:style w:type="table" w:styleId="TableGrid">
    <w:name w:val="Table Grid"/>
    <w:basedOn w:val="TableNormal"/>
    <w:uiPriority w:val="59"/>
    <w:rsid w:val="007F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2FAD"/>
    <w:pPr>
      <w:spacing w:line="240" w:lineRule="auto"/>
    </w:pPr>
    <w:rPr>
      <w:iCs/>
      <w:szCs w:val="18"/>
    </w:rPr>
  </w:style>
  <w:style w:type="character" w:customStyle="1" w:styleId="st">
    <w:name w:val="st"/>
    <w:basedOn w:val="DefaultParagraphFont"/>
    <w:rsid w:val="00F01D29"/>
  </w:style>
  <w:style w:type="paragraph" w:customStyle="1" w:styleId="BodyA">
    <w:name w:val="Body A"/>
    <w:rsid w:val="00F66DE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character" w:customStyle="1" w:styleId="Hyperlink2">
    <w:name w:val="Hyperlink.2"/>
    <w:basedOn w:val="DefaultParagraphFont"/>
    <w:rsid w:val="00F66DE2"/>
    <w:rPr>
      <w:caps w:val="0"/>
      <w:smallCaps w:val="0"/>
      <w:strike w:val="0"/>
      <w:dstrike w:val="0"/>
      <w:color w:val="0070C0"/>
      <w:spacing w:val="0"/>
      <w:kern w:val="0"/>
      <w:position w:val="0"/>
      <w:sz w:val="20"/>
      <w:szCs w:val="20"/>
      <w:u w:val="single" w:color="000000"/>
      <w:vertAlign w:val="baseline"/>
      <w:lang w:val="en-US"/>
    </w:rPr>
  </w:style>
  <w:style w:type="character" w:customStyle="1" w:styleId="Hyperlink3">
    <w:name w:val="Hyperlink.3"/>
    <w:basedOn w:val="DefaultParagraphFont"/>
    <w:rsid w:val="00F66DE2"/>
    <w:rPr>
      <w:caps w:val="0"/>
      <w:smallCaps w:val="0"/>
      <w:strike w:val="0"/>
      <w:dstrike w:val="0"/>
      <w:color w:val="0563C1"/>
      <w:spacing w:val="0"/>
      <w:kern w:val="0"/>
      <w:position w:val="0"/>
      <w:sz w:val="20"/>
      <w:szCs w:val="20"/>
      <w:u w:val="single" w:color="0563C1"/>
      <w:vertAlign w:val="baseline"/>
      <w:lang w:val="en-US"/>
    </w:rPr>
  </w:style>
  <w:style w:type="character" w:customStyle="1" w:styleId="Hyperlink7">
    <w:name w:val="Hyperlink.7"/>
    <w:basedOn w:val="DefaultParagraphFont"/>
    <w:rsid w:val="000B4AEC"/>
    <w:rPr>
      <w:color w:val="0563C1"/>
      <w:sz w:val="24"/>
      <w:szCs w:val="24"/>
      <w:u w:val="single" w:color="0563C1"/>
      <w:lang w:val="en-US"/>
    </w:rPr>
  </w:style>
  <w:style w:type="character" w:customStyle="1" w:styleId="Hyperlink6">
    <w:name w:val="Hyperlink.6"/>
    <w:basedOn w:val="DefaultParagraphFont"/>
    <w:rsid w:val="000B4AEC"/>
    <w:rPr>
      <w:color w:val="0563C1"/>
      <w:sz w:val="24"/>
      <w:szCs w:val="24"/>
      <w:u w:val="single" w:color="0563C1"/>
      <w:lang w:val="en-US"/>
    </w:rPr>
  </w:style>
  <w:style w:type="paragraph" w:customStyle="1" w:styleId="BodyB">
    <w:name w:val="Body B"/>
    <w:rsid w:val="009A320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customStyle="1" w:styleId="BodyAA">
    <w:name w:val="Body A A"/>
    <w:rsid w:val="009A320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numbering" w:customStyle="1" w:styleId="List17">
    <w:name w:val="List 17"/>
    <w:basedOn w:val="NoList"/>
    <w:rsid w:val="00992DC0"/>
    <w:pPr>
      <w:numPr>
        <w:numId w:val="5"/>
      </w:numPr>
    </w:pPr>
  </w:style>
  <w:style w:type="numbering" w:customStyle="1" w:styleId="List18">
    <w:name w:val="List 18"/>
    <w:basedOn w:val="NoList"/>
    <w:rsid w:val="00992DC0"/>
    <w:pPr>
      <w:numPr>
        <w:numId w:val="6"/>
      </w:numPr>
    </w:pPr>
  </w:style>
  <w:style w:type="character" w:customStyle="1" w:styleId="Hyperlink5">
    <w:name w:val="Hyperlink.5"/>
    <w:basedOn w:val="DefaultParagraphFont"/>
    <w:rsid w:val="00312FE0"/>
    <w:rPr>
      <w:sz w:val="24"/>
      <w:szCs w:val="24"/>
      <w:u w:val="single"/>
      <w:lang w:val="en-US"/>
    </w:rPr>
  </w:style>
  <w:style w:type="paragraph" w:customStyle="1" w:styleId="Bulletlist">
    <w:name w:val="Bullet list"/>
    <w:basedOn w:val="Normal"/>
    <w:rsid w:val="00992DC0"/>
    <w:pPr>
      <w:numPr>
        <w:numId w:val="16"/>
      </w:numPr>
    </w:pPr>
  </w:style>
  <w:style w:type="paragraph" w:styleId="TableofFigures">
    <w:name w:val="table of figures"/>
    <w:basedOn w:val="Normal"/>
    <w:next w:val="Normal"/>
    <w:uiPriority w:val="99"/>
    <w:rsid w:val="00F2359D"/>
    <w:pPr>
      <w:spacing w:after="0" w:line="240" w:lineRule="auto"/>
      <w:ind w:left="442" w:hanging="442"/>
    </w:pPr>
  </w:style>
  <w:style w:type="character" w:customStyle="1" w:styleId="Hyperlink8">
    <w:name w:val="Hyperlink.8"/>
    <w:basedOn w:val="DefaultParagraphFont"/>
    <w:rsid w:val="00992DC0"/>
    <w:rPr>
      <w:sz w:val="22"/>
      <w:szCs w:val="22"/>
      <w:u w:val="single"/>
      <w:lang w:val="en-US"/>
    </w:rPr>
  </w:style>
  <w:style w:type="character" w:customStyle="1" w:styleId="Hyperlink9">
    <w:name w:val="Hyperlink.9"/>
    <w:basedOn w:val="DefaultParagraphFont"/>
    <w:rsid w:val="00992DC0"/>
    <w:rPr>
      <w:sz w:val="24"/>
      <w:szCs w:val="24"/>
      <w:u w:val="single" w:color="0563C1"/>
      <w:lang w:val="en-US"/>
    </w:rPr>
  </w:style>
  <w:style w:type="paragraph" w:customStyle="1" w:styleId="Subtitle0">
    <w:name w:val="Sub title"/>
    <w:link w:val="SubtitleChar0"/>
    <w:autoRedefine/>
    <w:qFormat/>
    <w:rsid w:val="009E399C"/>
    <w:pPr>
      <w:spacing w:before="300" w:after="300" w:line="360" w:lineRule="exact"/>
    </w:pPr>
    <w:rPr>
      <w:rFonts w:ascii="Calibri" w:eastAsia="Times New Roman" w:hAnsi="Calibri" w:cstheme="majorHAnsi"/>
      <w:b/>
      <w:sz w:val="32"/>
      <w:szCs w:val="32"/>
      <w:lang w:val="en-US" w:eastAsia="en-US"/>
    </w:rPr>
  </w:style>
  <w:style w:type="character" w:customStyle="1" w:styleId="SubtitleChar0">
    <w:name w:val="Sub title Char"/>
    <w:link w:val="Subtitle0"/>
    <w:rsid w:val="009E399C"/>
    <w:rPr>
      <w:rFonts w:ascii="Calibri" w:eastAsia="Times New Roman" w:hAnsi="Calibri" w:cstheme="majorHAnsi"/>
      <w:b/>
      <w:sz w:val="32"/>
      <w:szCs w:val="32"/>
      <w:lang w:val="en-US" w:eastAsia="en-US"/>
    </w:rPr>
  </w:style>
  <w:style w:type="character" w:customStyle="1" w:styleId="apple-converted-space">
    <w:name w:val="apple-converted-space"/>
    <w:basedOn w:val="DefaultParagraphFont"/>
    <w:rsid w:val="00A1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9824">
      <w:bodyDiv w:val="1"/>
      <w:marLeft w:val="0"/>
      <w:marRight w:val="0"/>
      <w:marTop w:val="0"/>
      <w:marBottom w:val="0"/>
      <w:divBdr>
        <w:top w:val="none" w:sz="0" w:space="0" w:color="auto"/>
        <w:left w:val="none" w:sz="0" w:space="0" w:color="auto"/>
        <w:bottom w:val="none" w:sz="0" w:space="0" w:color="auto"/>
        <w:right w:val="none" w:sz="0" w:space="0" w:color="auto"/>
      </w:divBdr>
    </w:div>
    <w:div w:id="301817227">
      <w:bodyDiv w:val="1"/>
      <w:marLeft w:val="0"/>
      <w:marRight w:val="0"/>
      <w:marTop w:val="0"/>
      <w:marBottom w:val="0"/>
      <w:divBdr>
        <w:top w:val="none" w:sz="0" w:space="0" w:color="auto"/>
        <w:left w:val="none" w:sz="0" w:space="0" w:color="auto"/>
        <w:bottom w:val="none" w:sz="0" w:space="0" w:color="auto"/>
        <w:right w:val="none" w:sz="0" w:space="0" w:color="auto"/>
      </w:divBdr>
      <w:divsChild>
        <w:div w:id="76949280">
          <w:marLeft w:val="1800"/>
          <w:marRight w:val="0"/>
          <w:marTop w:val="100"/>
          <w:marBottom w:val="120"/>
          <w:divBdr>
            <w:top w:val="none" w:sz="0" w:space="0" w:color="auto"/>
            <w:left w:val="none" w:sz="0" w:space="0" w:color="auto"/>
            <w:bottom w:val="none" w:sz="0" w:space="0" w:color="auto"/>
            <w:right w:val="none" w:sz="0" w:space="0" w:color="auto"/>
          </w:divBdr>
        </w:div>
        <w:div w:id="437607017">
          <w:marLeft w:val="1800"/>
          <w:marRight w:val="0"/>
          <w:marTop w:val="100"/>
          <w:marBottom w:val="120"/>
          <w:divBdr>
            <w:top w:val="none" w:sz="0" w:space="0" w:color="auto"/>
            <w:left w:val="none" w:sz="0" w:space="0" w:color="auto"/>
            <w:bottom w:val="none" w:sz="0" w:space="0" w:color="auto"/>
            <w:right w:val="none" w:sz="0" w:space="0" w:color="auto"/>
          </w:divBdr>
        </w:div>
        <w:div w:id="539174686">
          <w:marLeft w:val="1080"/>
          <w:marRight w:val="0"/>
          <w:marTop w:val="100"/>
          <w:marBottom w:val="120"/>
          <w:divBdr>
            <w:top w:val="none" w:sz="0" w:space="0" w:color="auto"/>
            <w:left w:val="none" w:sz="0" w:space="0" w:color="auto"/>
            <w:bottom w:val="none" w:sz="0" w:space="0" w:color="auto"/>
            <w:right w:val="none" w:sz="0" w:space="0" w:color="auto"/>
          </w:divBdr>
        </w:div>
        <w:div w:id="590939698">
          <w:marLeft w:val="1080"/>
          <w:marRight w:val="0"/>
          <w:marTop w:val="100"/>
          <w:marBottom w:val="120"/>
          <w:divBdr>
            <w:top w:val="none" w:sz="0" w:space="0" w:color="auto"/>
            <w:left w:val="none" w:sz="0" w:space="0" w:color="auto"/>
            <w:bottom w:val="none" w:sz="0" w:space="0" w:color="auto"/>
            <w:right w:val="none" w:sz="0" w:space="0" w:color="auto"/>
          </w:divBdr>
        </w:div>
        <w:div w:id="1262564518">
          <w:marLeft w:val="1800"/>
          <w:marRight w:val="0"/>
          <w:marTop w:val="100"/>
          <w:marBottom w:val="120"/>
          <w:divBdr>
            <w:top w:val="none" w:sz="0" w:space="0" w:color="auto"/>
            <w:left w:val="none" w:sz="0" w:space="0" w:color="auto"/>
            <w:bottom w:val="none" w:sz="0" w:space="0" w:color="auto"/>
            <w:right w:val="none" w:sz="0" w:space="0" w:color="auto"/>
          </w:divBdr>
        </w:div>
        <w:div w:id="2005546063">
          <w:marLeft w:val="1080"/>
          <w:marRight w:val="0"/>
          <w:marTop w:val="100"/>
          <w:marBottom w:val="120"/>
          <w:divBdr>
            <w:top w:val="none" w:sz="0" w:space="0" w:color="auto"/>
            <w:left w:val="none" w:sz="0" w:space="0" w:color="auto"/>
            <w:bottom w:val="none" w:sz="0" w:space="0" w:color="auto"/>
            <w:right w:val="none" w:sz="0" w:space="0" w:color="auto"/>
          </w:divBdr>
        </w:div>
      </w:divsChild>
    </w:div>
    <w:div w:id="455951308">
      <w:bodyDiv w:val="1"/>
      <w:marLeft w:val="0"/>
      <w:marRight w:val="0"/>
      <w:marTop w:val="0"/>
      <w:marBottom w:val="0"/>
      <w:divBdr>
        <w:top w:val="none" w:sz="0" w:space="0" w:color="auto"/>
        <w:left w:val="none" w:sz="0" w:space="0" w:color="auto"/>
        <w:bottom w:val="none" w:sz="0" w:space="0" w:color="auto"/>
        <w:right w:val="none" w:sz="0" w:space="0" w:color="auto"/>
      </w:divBdr>
    </w:div>
    <w:div w:id="632952616">
      <w:bodyDiv w:val="1"/>
      <w:marLeft w:val="0"/>
      <w:marRight w:val="0"/>
      <w:marTop w:val="0"/>
      <w:marBottom w:val="0"/>
      <w:divBdr>
        <w:top w:val="none" w:sz="0" w:space="0" w:color="auto"/>
        <w:left w:val="none" w:sz="0" w:space="0" w:color="auto"/>
        <w:bottom w:val="none" w:sz="0" w:space="0" w:color="auto"/>
        <w:right w:val="none" w:sz="0" w:space="0" w:color="auto"/>
      </w:divBdr>
    </w:div>
    <w:div w:id="797915436">
      <w:bodyDiv w:val="1"/>
      <w:marLeft w:val="0"/>
      <w:marRight w:val="0"/>
      <w:marTop w:val="0"/>
      <w:marBottom w:val="0"/>
      <w:divBdr>
        <w:top w:val="none" w:sz="0" w:space="0" w:color="auto"/>
        <w:left w:val="none" w:sz="0" w:space="0" w:color="auto"/>
        <w:bottom w:val="none" w:sz="0" w:space="0" w:color="auto"/>
        <w:right w:val="none" w:sz="0" w:space="0" w:color="auto"/>
      </w:divBdr>
      <w:divsChild>
        <w:div w:id="1470051016">
          <w:marLeft w:val="0"/>
          <w:marRight w:val="0"/>
          <w:marTop w:val="0"/>
          <w:marBottom w:val="0"/>
          <w:divBdr>
            <w:top w:val="none" w:sz="0" w:space="0" w:color="auto"/>
            <w:left w:val="none" w:sz="0" w:space="0" w:color="auto"/>
            <w:bottom w:val="none" w:sz="0" w:space="0" w:color="auto"/>
            <w:right w:val="none" w:sz="0" w:space="0" w:color="auto"/>
          </w:divBdr>
        </w:div>
      </w:divsChild>
    </w:div>
    <w:div w:id="850340457">
      <w:bodyDiv w:val="1"/>
      <w:marLeft w:val="0"/>
      <w:marRight w:val="0"/>
      <w:marTop w:val="0"/>
      <w:marBottom w:val="0"/>
      <w:divBdr>
        <w:top w:val="none" w:sz="0" w:space="0" w:color="auto"/>
        <w:left w:val="none" w:sz="0" w:space="0" w:color="auto"/>
        <w:bottom w:val="none" w:sz="0" w:space="0" w:color="auto"/>
        <w:right w:val="none" w:sz="0" w:space="0" w:color="auto"/>
      </w:divBdr>
    </w:div>
    <w:div w:id="944311966">
      <w:bodyDiv w:val="1"/>
      <w:marLeft w:val="0"/>
      <w:marRight w:val="0"/>
      <w:marTop w:val="0"/>
      <w:marBottom w:val="0"/>
      <w:divBdr>
        <w:top w:val="none" w:sz="0" w:space="0" w:color="auto"/>
        <w:left w:val="none" w:sz="0" w:space="0" w:color="auto"/>
        <w:bottom w:val="none" w:sz="0" w:space="0" w:color="auto"/>
        <w:right w:val="none" w:sz="0" w:space="0" w:color="auto"/>
      </w:divBdr>
    </w:div>
    <w:div w:id="1497069573">
      <w:bodyDiv w:val="1"/>
      <w:marLeft w:val="0"/>
      <w:marRight w:val="0"/>
      <w:marTop w:val="0"/>
      <w:marBottom w:val="0"/>
      <w:divBdr>
        <w:top w:val="none" w:sz="0" w:space="0" w:color="auto"/>
        <w:left w:val="none" w:sz="0" w:space="0" w:color="auto"/>
        <w:bottom w:val="none" w:sz="0" w:space="0" w:color="auto"/>
        <w:right w:val="none" w:sz="0" w:space="0" w:color="auto"/>
      </w:divBdr>
    </w:div>
    <w:div w:id="1571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h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5018-114A-4901-A143-A1B981AB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10886</Words>
  <Characters>62054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2018-10-04T03:13:00Z</dcterms:created>
  <dcterms:modified xsi:type="dcterms:W3CDTF">2018-10-04T03:13:00Z</dcterms:modified>
</cp:coreProperties>
</file>