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B023F7" w:rsidRPr="0050053A" w14:paraId="3A659081" w14:textId="77777777" w:rsidTr="00B027FD">
        <w:trPr>
          <w:jc w:val="center"/>
        </w:trPr>
        <w:tc>
          <w:tcPr>
            <w:tcW w:w="8640" w:type="dxa"/>
            <w:shd w:val="clear" w:color="auto" w:fill="auto"/>
          </w:tcPr>
          <w:bookmarkStart w:id="0" w:name="_GoBack" w:colFirst="0" w:colLast="0"/>
          <w:p w14:paraId="6699EEA8" w14:textId="002E8807" w:rsidR="00B023F7" w:rsidRPr="00B023F7" w:rsidRDefault="00C7242F" w:rsidP="000772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AU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pping and identifying migration pattern differences in response to wounding in asthmatic and non-asthmatic airway epithelial cells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GB"/>
              </w:rPr>
              <w:t>Mapping and identifying migration pattern differences in response to wounding in asthmatic and non-asthmatic airway epithelial cells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end"/>
            </w:r>
            <w:bookmarkEnd w:id="1"/>
          </w:p>
        </w:tc>
      </w:tr>
      <w:tr w:rsidR="00B023F7" w:rsidRPr="0050053A" w14:paraId="7E259A50" w14:textId="77777777" w:rsidTr="00B027FD">
        <w:trPr>
          <w:jc w:val="center"/>
        </w:trPr>
        <w:tc>
          <w:tcPr>
            <w:tcW w:w="8640" w:type="dxa"/>
            <w:shd w:val="clear" w:color="auto" w:fill="auto"/>
          </w:tcPr>
          <w:p w14:paraId="656566CC" w14:textId="5F1F3EF1" w:rsidR="00B023F7" w:rsidRPr="00B023F7" w:rsidRDefault="00B023F7" w:rsidP="007B448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val="en-AU" w:eastAsia="zh-CN"/>
              </w:rPr>
            </w:pPr>
            <w:r w:rsidRPr="00B023F7">
              <w:rPr>
                <w:rFonts w:ascii="Arial" w:hAnsi="Arial" w:cs="Arial"/>
                <w:b/>
                <w:sz w:val="22"/>
                <w:szCs w:val="22"/>
                <w:u w:val="single"/>
                <w:lang w:val="en-AU" w:eastAsia="zh-CN"/>
              </w:rPr>
              <w:t>Iosifidis T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1,2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Buckley AG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3,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4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Sutanto EN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3,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5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Ling KM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3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Garratt LW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1,3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Looi K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1,3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Kicic-Starcevich E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3,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5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Martinovich KM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3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Shaw NC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3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AU" w:eastAsia="zh-CN"/>
              </w:rPr>
              <w:t>Montgomery ST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, 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Vijayasekaran S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Lannigan FJ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1,6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Rigby PJ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4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Knight DA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7,8,9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>, Stick SM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1,2,3,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5</w:t>
            </w:r>
            <w:r w:rsidRPr="00B023F7"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 and Kicic A</w:t>
            </w:r>
            <w:r w:rsidRPr="00B023F7"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1,2,3,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AU" w:eastAsia="zh-CN"/>
              </w:rPr>
              <w:t>5</w:t>
            </w:r>
          </w:p>
        </w:tc>
      </w:tr>
      <w:tr w:rsidR="00B023F7" w:rsidRPr="0050053A" w14:paraId="22D4A3B4" w14:textId="77777777" w:rsidTr="00B027FD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039DF916" w14:textId="25AAFBF4" w:rsidR="00B023F7" w:rsidRPr="00B023F7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AU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of Paediatrics &amp; Child Health, The University of Western Australia, Western Australia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School of Paediatrics &amp; Child Health, The University of Western Australia, Western Australia,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5E69646F" w14:textId="37A8E076" w:rsidR="00B023F7" w:rsidRPr="0050053A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ntre for Cell Therapy &amp; Regenerative Medicine, Western Australia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Centre for Cell Therapy &amp; Regenerative Medicine, Western Australia,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0C3ECCF2" w14:textId="5690FB38" w:rsidR="00B023F7" w:rsidRPr="0050053A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thon Kids Institute, Western Australia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Telethon Kids Institute, Western Australia,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049127D" w14:textId="7A782191" w:rsidR="00B023F7" w:rsidRPr="0050053A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ntre for Microscopy, Characterisation &amp; Analysis, Western Australia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Centre for Microscopy, Characterisation &amp; Analysis, Western Australia,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30A16E2A" w14:textId="5F59E277" w:rsidR="00B023F7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 of Respiratory Medicine, Princess Margaret Hospital for Children, Western Australia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Department of Respiratory Medicine, Princess Margaret Hospital for Children, Western Australia,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37DFDB19" w14:textId="4A07C088" w:rsidR="00B023F7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of Medicine, Notre Dame University, Western Australia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School of Medicine, Notre Dame University, Western Australia,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FEB9263" w14:textId="2EBEF6B3" w:rsidR="00B023F7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7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of Biomedical Sciences &amp; Pharmacy, University of Newcastle, New South Wales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School of Biomedical Sciences &amp; Pharmacy, University of Newcastle, New South Wales,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4AD6CFDB" w14:textId="2A6D82ED" w:rsidR="00B023F7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8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ority Research Centre for Asthma &amp; Respiratory Disease, Hunter Medical Research Institute, New South Wales, Australi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Priority Research Centre for Asthma &amp; Respiratory Disease, Hunter Medical Research Institute, New South Wales, Australia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E57368D" w14:textId="2D62C22E" w:rsidR="00B023F7" w:rsidRPr="0050053A" w:rsidRDefault="00B023F7" w:rsidP="007B448C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9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 of Anesthesiology, Pharmacology &amp; Therapeutics, University of British Columbia, British Columbia, Canada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Department of Anesthesiology, Pharmacology &amp; Therapeutics, University of British Columbia, British Columbia, Canada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</w:tc>
      </w:tr>
      <w:tr w:rsidR="00B023F7" w:rsidRPr="0050053A" w14:paraId="243B5710" w14:textId="77777777" w:rsidTr="008F56FF">
        <w:trPr>
          <w:trHeight w:hRule="exact" w:val="9366"/>
          <w:jc w:val="center"/>
        </w:trPr>
        <w:tc>
          <w:tcPr>
            <w:tcW w:w="8640" w:type="dxa"/>
            <w:shd w:val="clear" w:color="auto" w:fill="auto"/>
          </w:tcPr>
          <w:p w14:paraId="0B80CB65" w14:textId="01E9E544" w:rsidR="007B448C" w:rsidRPr="007B448C" w:rsidRDefault="00B023F7" w:rsidP="007B448C">
            <w:pPr>
              <w:pStyle w:val="Pa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b/>
                <w:bCs/>
              </w:rPr>
              <w:lastRenderedPageBreak/>
              <w:t>Introduction/Aim:</w:t>
            </w:r>
            <w:r>
              <w:rPr>
                <w:sz w:val="22"/>
                <w:szCs w:val="22"/>
              </w:rPr>
              <w:br/>
            </w:r>
            <w:r w:rsidR="000772F8">
              <w:rPr>
                <w:sz w:val="22"/>
                <w:szCs w:val="22"/>
                <w:lang w:val="en-AU"/>
              </w:rPr>
              <w:t>C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ell migration represents a significant component of the </w:t>
            </w:r>
            <w:r w:rsidR="002F08A6">
              <w:rPr>
                <w:sz w:val="22"/>
                <w:szCs w:val="22"/>
                <w:lang w:val="en-AU"/>
              </w:rPr>
              <w:t xml:space="preserve">airway epithelial </w:t>
            </w:r>
            <w:r w:rsidR="007B448C" w:rsidRPr="007B448C">
              <w:rPr>
                <w:sz w:val="22"/>
                <w:szCs w:val="22"/>
                <w:lang w:val="en-AU"/>
              </w:rPr>
              <w:t>wound repair process. However,</w:t>
            </w:r>
            <w:r w:rsidR="002F08A6">
              <w:rPr>
                <w:sz w:val="22"/>
                <w:szCs w:val="22"/>
                <w:lang w:val="en-AU"/>
              </w:rPr>
              <w:t xml:space="preserve"> the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 </w:t>
            </w:r>
            <w:r w:rsidR="002F08A6">
              <w:rPr>
                <w:sz w:val="22"/>
                <w:szCs w:val="22"/>
                <w:lang w:val="en-AU"/>
              </w:rPr>
              <w:t>pattern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 of migration and cell directionality has not been investigated</w:t>
            </w:r>
            <w:r w:rsidR="002F08A6">
              <w:rPr>
                <w:sz w:val="22"/>
                <w:szCs w:val="22"/>
                <w:lang w:val="en-AU"/>
              </w:rPr>
              <w:t xml:space="preserve"> in these cells before.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 </w:t>
            </w:r>
            <w:r w:rsidR="002F08A6">
              <w:rPr>
                <w:sz w:val="22"/>
                <w:szCs w:val="22"/>
                <w:lang w:val="en-AU"/>
              </w:rPr>
              <w:t>Since d</w:t>
            </w:r>
            <w:r w:rsidR="007B448C" w:rsidRPr="007B448C">
              <w:rPr>
                <w:sz w:val="22"/>
                <w:szCs w:val="22"/>
                <w:lang w:val="en-AU"/>
              </w:rPr>
              <w:t>efective cell migration is thought to contribute to the dysregulated wound re</w:t>
            </w:r>
            <w:r w:rsidR="007B448C">
              <w:rPr>
                <w:sz w:val="22"/>
                <w:szCs w:val="22"/>
                <w:lang w:val="en-AU"/>
              </w:rPr>
              <w:t>pair of asthmatic epithelium</w:t>
            </w:r>
            <w:r w:rsidR="002F08A6">
              <w:rPr>
                <w:sz w:val="22"/>
                <w:szCs w:val="22"/>
                <w:lang w:val="en-AU"/>
              </w:rPr>
              <w:t>, the aim of this study was t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o analyse cell migration </w:t>
            </w:r>
            <w:r w:rsidR="002F08A6">
              <w:rPr>
                <w:sz w:val="22"/>
                <w:szCs w:val="22"/>
                <w:lang w:val="en-AU"/>
              </w:rPr>
              <w:t xml:space="preserve">patterns and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trajectories </w:t>
            </w:r>
            <w:r w:rsidR="002F08A6">
              <w:rPr>
                <w:sz w:val="22"/>
                <w:szCs w:val="22"/>
                <w:lang w:val="en-AU"/>
              </w:rPr>
              <w:t>in asthmatic and non-asthmatic</w:t>
            </w:r>
            <w:r w:rsidR="002F08A6" w:rsidRPr="007B448C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>airway epithelial cells</w:t>
            </w:r>
            <w:r w:rsidR="00AD5042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>(</w:t>
            </w:r>
            <w:proofErr w:type="spellStart"/>
            <w:r w:rsidR="007B448C" w:rsidRPr="007B448C">
              <w:rPr>
                <w:sz w:val="22"/>
                <w:szCs w:val="22"/>
                <w:lang w:val="en-AU"/>
              </w:rPr>
              <w:t>pAECs</w:t>
            </w:r>
            <w:proofErr w:type="spellEnd"/>
            <w:r w:rsidR="007B448C" w:rsidRPr="007B448C">
              <w:rPr>
                <w:sz w:val="22"/>
                <w:szCs w:val="22"/>
                <w:lang w:val="en-AU"/>
              </w:rPr>
              <w:t xml:space="preserve">) </w:t>
            </w:r>
            <w:r w:rsidR="00C13C0A">
              <w:rPr>
                <w:sz w:val="22"/>
                <w:szCs w:val="22"/>
                <w:lang w:val="en-AU"/>
              </w:rPr>
              <w:t>post-</w:t>
            </w:r>
            <w:r w:rsidR="002F08A6">
              <w:rPr>
                <w:sz w:val="22"/>
                <w:szCs w:val="22"/>
                <w:lang w:val="en-AU"/>
              </w:rPr>
              <w:t>injury</w:t>
            </w:r>
            <w:r w:rsidR="007B448C" w:rsidRPr="007B448C">
              <w:rPr>
                <w:sz w:val="22"/>
                <w:szCs w:val="22"/>
                <w:lang w:val="en-AU"/>
              </w:rPr>
              <w:t>.</w:t>
            </w:r>
          </w:p>
          <w:p w14:paraId="1A521598" w14:textId="444B456A" w:rsidR="00B023F7" w:rsidRPr="007B448C" w:rsidRDefault="00B023F7" w:rsidP="007B448C">
            <w:pPr>
              <w:pStyle w:val="Pa12"/>
              <w:jc w:val="both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>
              <w:rPr>
                <w:rStyle w:val="A4"/>
                <w:b/>
                <w:bCs/>
              </w:rPr>
              <w:t>s:</w:t>
            </w:r>
            <w:r>
              <w:rPr>
                <w:sz w:val="22"/>
                <w:szCs w:val="22"/>
              </w:rPr>
              <w:br/>
            </w:r>
            <w:proofErr w:type="spellStart"/>
            <w:r w:rsidR="00C13C0A">
              <w:rPr>
                <w:sz w:val="22"/>
                <w:szCs w:val="22"/>
                <w:lang w:val="en-AU"/>
              </w:rPr>
              <w:t>pAECs</w:t>
            </w:r>
            <w:proofErr w:type="spellEnd"/>
            <w:r w:rsidR="00C13C0A">
              <w:rPr>
                <w:sz w:val="22"/>
                <w:szCs w:val="22"/>
                <w:lang w:val="en-AU"/>
              </w:rPr>
              <w:t xml:space="preserve"> were </w:t>
            </w:r>
            <w:r w:rsidR="00C13C0A" w:rsidRPr="00C13C0A">
              <w:rPr>
                <w:sz w:val="22"/>
                <w:szCs w:val="22"/>
                <w:lang w:val="en-AU"/>
              </w:rPr>
              <w:t>obtained from</w:t>
            </w:r>
            <w:r w:rsidR="00AD5042">
              <w:rPr>
                <w:sz w:val="22"/>
                <w:szCs w:val="22"/>
                <w:lang w:val="en-AU"/>
              </w:rPr>
              <w:t xml:space="preserve"> </w:t>
            </w:r>
            <w:r w:rsidR="00420DE0" w:rsidRPr="00C13C0A">
              <w:rPr>
                <w:sz w:val="22"/>
                <w:szCs w:val="22"/>
                <w:lang w:val="en-AU"/>
              </w:rPr>
              <w:t>(</w:t>
            </w:r>
            <w:r w:rsidR="004454BA" w:rsidRPr="00C13C0A">
              <w:rPr>
                <w:sz w:val="22"/>
                <w:szCs w:val="22"/>
                <w:lang w:val="en-AU"/>
              </w:rPr>
              <w:t>n=</w:t>
            </w:r>
            <w:r w:rsidR="00C13C0A" w:rsidRPr="00C13C0A">
              <w:rPr>
                <w:sz w:val="22"/>
                <w:szCs w:val="22"/>
                <w:lang w:val="en-AU"/>
              </w:rPr>
              <w:t>4</w:t>
            </w:r>
            <w:r w:rsidR="004454BA" w:rsidRPr="00C13C0A">
              <w:rPr>
                <w:sz w:val="22"/>
                <w:szCs w:val="22"/>
                <w:lang w:val="en-AU"/>
              </w:rPr>
              <w:t xml:space="preserve">, </w:t>
            </w:r>
            <w:r w:rsidR="00C13C0A" w:rsidRPr="00C13C0A">
              <w:rPr>
                <w:sz w:val="22"/>
                <w:szCs w:val="22"/>
                <w:lang w:val="en-AU"/>
              </w:rPr>
              <w:t>3</w:t>
            </w:r>
            <w:r w:rsidR="004454BA" w:rsidRPr="00C13C0A">
              <w:rPr>
                <w:sz w:val="22"/>
                <w:szCs w:val="22"/>
                <w:lang w:val="en-AU"/>
              </w:rPr>
              <w:t xml:space="preserve"> males, 3.1-12.7 years)</w:t>
            </w:r>
            <w:r w:rsidR="00420DE0" w:rsidRPr="00C13C0A">
              <w:rPr>
                <w:sz w:val="22"/>
                <w:szCs w:val="22"/>
                <w:lang w:val="en-AU"/>
              </w:rPr>
              <w:t xml:space="preserve"> </w:t>
            </w:r>
            <w:r w:rsidR="007B448C" w:rsidRPr="00C13C0A">
              <w:rPr>
                <w:sz w:val="22"/>
                <w:szCs w:val="22"/>
                <w:lang w:val="en-AU"/>
              </w:rPr>
              <w:t>asthmatic and non-asthmatic</w:t>
            </w:r>
            <w:r w:rsidR="00AD5042">
              <w:rPr>
                <w:sz w:val="22"/>
                <w:szCs w:val="22"/>
                <w:lang w:val="en-AU"/>
              </w:rPr>
              <w:t xml:space="preserve"> </w:t>
            </w:r>
            <w:r w:rsidR="00420DE0" w:rsidRPr="00C13C0A">
              <w:rPr>
                <w:sz w:val="22"/>
                <w:szCs w:val="22"/>
                <w:lang w:val="en-AU"/>
              </w:rPr>
              <w:t>(</w:t>
            </w:r>
            <w:r w:rsidR="004454BA" w:rsidRPr="00C13C0A">
              <w:rPr>
                <w:sz w:val="22"/>
                <w:szCs w:val="22"/>
                <w:lang w:val="en-AU"/>
              </w:rPr>
              <w:t>n=7</w:t>
            </w:r>
            <w:r w:rsidR="00420DE0" w:rsidRPr="00C13C0A">
              <w:rPr>
                <w:sz w:val="22"/>
                <w:szCs w:val="22"/>
                <w:lang w:val="en-AU"/>
              </w:rPr>
              <w:t xml:space="preserve">, </w:t>
            </w:r>
            <w:r w:rsidR="004454BA" w:rsidRPr="00C13C0A">
              <w:rPr>
                <w:sz w:val="22"/>
                <w:szCs w:val="22"/>
                <w:lang w:val="en-AU"/>
              </w:rPr>
              <w:t>4 males, 2.1-7.1 years)</w:t>
            </w:r>
            <w:r w:rsidR="007B448C" w:rsidRPr="00C13C0A">
              <w:rPr>
                <w:sz w:val="22"/>
                <w:szCs w:val="22"/>
                <w:lang w:val="en-AU"/>
              </w:rPr>
              <w:t xml:space="preserve"> children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undergoing elective surgery for non-respiratory conditions. Cells were </w:t>
            </w:r>
            <w:r w:rsidR="00420DE0">
              <w:rPr>
                <w:sz w:val="22"/>
                <w:szCs w:val="22"/>
                <w:lang w:val="en-AU"/>
              </w:rPr>
              <w:t xml:space="preserve">initially cultured and subsequently </w:t>
            </w:r>
            <w:r w:rsidR="007B448C" w:rsidRPr="007B448C">
              <w:rPr>
                <w:sz w:val="22"/>
                <w:szCs w:val="22"/>
                <w:lang w:val="en-AU"/>
              </w:rPr>
              <w:t>seeded into 96-well ImageLock plates</w:t>
            </w:r>
            <w:r w:rsidR="00420DE0">
              <w:rPr>
                <w:sz w:val="22"/>
                <w:szCs w:val="22"/>
                <w:lang w:val="en-AU"/>
              </w:rPr>
              <w:t>.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 </w:t>
            </w:r>
            <w:r w:rsidR="00420DE0">
              <w:rPr>
                <w:sz w:val="22"/>
                <w:szCs w:val="22"/>
                <w:lang w:val="en-AU"/>
              </w:rPr>
              <w:t>O</w:t>
            </w:r>
            <w:r w:rsidR="007B448C" w:rsidRPr="007B448C">
              <w:rPr>
                <w:sz w:val="22"/>
                <w:szCs w:val="22"/>
                <w:lang w:val="en-AU"/>
              </w:rPr>
              <w:t>nce confluent</w:t>
            </w:r>
            <w:r w:rsidR="00420DE0">
              <w:rPr>
                <w:sz w:val="22"/>
                <w:szCs w:val="22"/>
                <w:lang w:val="en-AU"/>
              </w:rPr>
              <w:t>, monolayers were mechanically wounded and repair</w:t>
            </w:r>
            <w:r w:rsidR="006B62F4">
              <w:rPr>
                <w:sz w:val="22"/>
                <w:szCs w:val="22"/>
                <w:lang w:val="en-AU"/>
              </w:rPr>
              <w:t xml:space="preserve"> tracked using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 </w:t>
            </w:r>
            <w:r w:rsidR="006B62F4">
              <w:rPr>
                <w:sz w:val="22"/>
                <w:szCs w:val="22"/>
                <w:lang w:val="en-AU"/>
              </w:rPr>
              <w:t>b</w:t>
            </w:r>
            <w:r w:rsidR="007B448C" w:rsidRPr="007B448C">
              <w:rPr>
                <w:sz w:val="22"/>
                <w:szCs w:val="22"/>
                <w:lang w:val="en-AU"/>
              </w:rPr>
              <w:t>rightfield images of the wound</w:t>
            </w:r>
            <w:r w:rsidR="006B62F4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taken every 30 minutes </w:t>
            </w:r>
            <w:r w:rsidR="006B62F4">
              <w:rPr>
                <w:sz w:val="22"/>
                <w:szCs w:val="22"/>
                <w:lang w:val="en-AU"/>
              </w:rPr>
              <w:t>(</w:t>
            </w:r>
            <w:r w:rsidR="007B448C" w:rsidRPr="007B448C">
              <w:rPr>
                <w:sz w:val="22"/>
                <w:szCs w:val="22"/>
                <w:lang w:val="en-AU"/>
              </w:rPr>
              <w:t>Incucyte</w:t>
            </w:r>
            <w:r w:rsidR="006B62F4">
              <w:rPr>
                <w:sz w:val="22"/>
                <w:szCs w:val="22"/>
                <w:lang w:val="en-AU"/>
              </w:rPr>
              <w:t>;</w:t>
            </w:r>
            <w:r w:rsidR="00072915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Essen Bioscience). </w:t>
            </w:r>
            <w:r w:rsidR="00420DE0">
              <w:rPr>
                <w:sz w:val="22"/>
                <w:szCs w:val="22"/>
                <w:lang w:val="en-AU"/>
              </w:rPr>
              <w:t>M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igration </w:t>
            </w:r>
            <w:r w:rsidR="00420DE0">
              <w:rPr>
                <w:sz w:val="22"/>
                <w:szCs w:val="22"/>
                <w:lang w:val="en-AU"/>
              </w:rPr>
              <w:t xml:space="preserve">patterns and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trajectories of leading-edge cells were </w:t>
            </w:r>
            <w:r w:rsidR="006B62F4">
              <w:rPr>
                <w:sz w:val="22"/>
                <w:szCs w:val="22"/>
                <w:lang w:val="en-AU"/>
              </w:rPr>
              <w:t>determined</w:t>
            </w:r>
            <w:r w:rsidR="006B62F4" w:rsidRPr="007B448C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>using ImageJ</w:t>
            </w:r>
            <w:r w:rsidR="00C7242F">
              <w:rPr>
                <w:sz w:val="22"/>
                <w:szCs w:val="22"/>
                <w:lang w:val="en-AU"/>
              </w:rPr>
              <w:t>2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 and the Chemotaxis and Migration Tool</w:t>
            </w:r>
            <w:r w:rsidR="00AD5042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>(</w:t>
            </w:r>
            <w:proofErr w:type="spellStart"/>
            <w:r w:rsidR="007B448C" w:rsidRPr="007B448C">
              <w:rPr>
                <w:sz w:val="22"/>
                <w:szCs w:val="22"/>
                <w:lang w:val="en-AU"/>
              </w:rPr>
              <w:t>Ibidi</w:t>
            </w:r>
            <w:proofErr w:type="spellEnd"/>
            <w:r w:rsidR="007B448C" w:rsidRPr="007B448C">
              <w:rPr>
                <w:sz w:val="22"/>
                <w:szCs w:val="22"/>
                <w:lang w:val="en-AU"/>
              </w:rPr>
              <w:t>) plugin.</w:t>
            </w:r>
          </w:p>
          <w:p w14:paraId="339B4523" w14:textId="16B2C615" w:rsidR="00B023F7" w:rsidRPr="0050053A" w:rsidRDefault="00B023F7" w:rsidP="007B448C">
            <w:pPr>
              <w:pStyle w:val="Pa12"/>
              <w:jc w:val="both"/>
              <w:rPr>
                <w:rStyle w:val="A4"/>
                <w:bCs/>
              </w:rPr>
            </w:pPr>
            <w:r>
              <w:rPr>
                <w:rStyle w:val="A4"/>
                <w:b/>
                <w:bCs/>
              </w:rPr>
              <w:t>Results:</w:t>
            </w:r>
            <w:r>
              <w:rPr>
                <w:sz w:val="22"/>
                <w:szCs w:val="22"/>
              </w:rPr>
              <w:br/>
            </w:r>
            <w:r w:rsidR="007B448C" w:rsidRPr="007B448C">
              <w:rPr>
                <w:sz w:val="22"/>
                <w:szCs w:val="22"/>
                <w:lang w:val="en-AU"/>
              </w:rPr>
              <w:t>Leading-edge pAECs from non-asthmatic children were found to have a mean migration distance of 188±79μm and velocity of 0.37±0.17μm/min. Primary leading-edge cells were found to have an angular distribution of 98˚ with a directionality value of 0.91±0.10 during wound repair. Interestingly, leading-edge pAECs from asthmatic children were found to have similar mean migration distance and velocity to their non-asthmatic counterparts</w:t>
            </w:r>
            <w:r w:rsidR="00AD5042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(181±127μm and 0.41±0.28μm/min respectively). </w:t>
            </w:r>
            <w:r w:rsidR="00C70040" w:rsidRPr="007B448C">
              <w:rPr>
                <w:sz w:val="22"/>
                <w:szCs w:val="22"/>
                <w:lang w:val="en-AU"/>
              </w:rPr>
              <w:t>Primary leading-edge cells of asthmatic pAECs were found to h</w:t>
            </w:r>
            <w:r w:rsidR="00C70040">
              <w:rPr>
                <w:sz w:val="22"/>
                <w:szCs w:val="22"/>
                <w:lang w:val="en-AU"/>
              </w:rPr>
              <w:t>ave</w:t>
            </w:r>
            <w:r w:rsidR="00C70040" w:rsidRPr="007B448C">
              <w:rPr>
                <w:sz w:val="22"/>
                <w:szCs w:val="22"/>
                <w:lang w:val="en-AU"/>
              </w:rPr>
              <w:t xml:space="preserve"> greater angular distribution of 267˚ and lower directionality value of 0.53±0.19 during wound repair.</w:t>
            </w:r>
            <w:r w:rsidR="0021599C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 xml:space="preserve">Further analysis revealed that, asthmatic pAECs could be </w:t>
            </w:r>
            <w:r w:rsidR="00C70040">
              <w:rPr>
                <w:sz w:val="22"/>
                <w:szCs w:val="22"/>
                <w:lang w:val="en-AU"/>
              </w:rPr>
              <w:t xml:space="preserve">further </w:t>
            </w:r>
            <w:r w:rsidR="00C70040" w:rsidRPr="007B448C">
              <w:rPr>
                <w:sz w:val="22"/>
                <w:szCs w:val="22"/>
                <w:lang w:val="en-AU"/>
              </w:rPr>
              <w:t>subclassed</w:t>
            </w:r>
            <w:r w:rsidR="00C70040">
              <w:rPr>
                <w:sz w:val="22"/>
                <w:szCs w:val="22"/>
                <w:lang w:val="en-AU"/>
              </w:rPr>
              <w:t xml:space="preserve"> as ‘responders</w:t>
            </w:r>
            <w:r w:rsidR="00C13C0A">
              <w:rPr>
                <w:sz w:val="22"/>
                <w:szCs w:val="22"/>
                <w:lang w:val="en-AU"/>
              </w:rPr>
              <w:t>’</w:t>
            </w:r>
            <w:r w:rsidR="00C70040">
              <w:rPr>
                <w:sz w:val="22"/>
                <w:szCs w:val="22"/>
                <w:lang w:val="en-AU"/>
              </w:rPr>
              <w:t xml:space="preserve"> and ‘non-responders</w:t>
            </w:r>
            <w:r w:rsidR="00C13C0A">
              <w:rPr>
                <w:sz w:val="22"/>
                <w:szCs w:val="22"/>
                <w:lang w:val="en-AU"/>
              </w:rPr>
              <w:t>’</w:t>
            </w:r>
            <w:r w:rsidR="00C70040">
              <w:rPr>
                <w:sz w:val="22"/>
                <w:szCs w:val="22"/>
                <w:lang w:val="en-AU"/>
              </w:rPr>
              <w:t xml:space="preserve"> </w:t>
            </w:r>
            <w:r w:rsidR="007B448C" w:rsidRPr="007B448C">
              <w:rPr>
                <w:sz w:val="22"/>
                <w:szCs w:val="22"/>
                <w:lang w:val="en-AU"/>
              </w:rPr>
              <w:t>according to their migration trajectories</w:t>
            </w:r>
            <w:r w:rsidR="00C70040">
              <w:rPr>
                <w:sz w:val="22"/>
                <w:szCs w:val="22"/>
                <w:lang w:val="en-AU"/>
              </w:rPr>
              <w:t xml:space="preserve"> post wounding</w:t>
            </w:r>
            <w:r w:rsidR="0021599C">
              <w:rPr>
                <w:sz w:val="22"/>
                <w:szCs w:val="22"/>
                <w:lang w:val="en-AU"/>
              </w:rPr>
              <w:t>.</w:t>
            </w:r>
          </w:p>
          <w:p w14:paraId="2E187418" w14:textId="434F869E" w:rsidR="00B023F7" w:rsidRPr="0050053A" w:rsidRDefault="00B023F7" w:rsidP="007B448C">
            <w:pPr>
              <w:pStyle w:val="Pa12"/>
              <w:jc w:val="both"/>
              <w:rPr>
                <w:rStyle w:val="A4"/>
                <w:bCs/>
              </w:rPr>
            </w:pPr>
            <w:r>
              <w:rPr>
                <w:rStyle w:val="A4"/>
                <w:b/>
                <w:bCs/>
              </w:rPr>
              <w:t>Conclusion:</w:t>
            </w:r>
          </w:p>
          <w:p w14:paraId="7B2A8A7E" w14:textId="3ABB10AC" w:rsidR="00B023F7" w:rsidRPr="007B448C" w:rsidRDefault="007B448C" w:rsidP="007B448C">
            <w:pPr>
              <w:pStyle w:val="Pa12"/>
              <w:jc w:val="both"/>
              <w:rPr>
                <w:rStyle w:val="A4"/>
                <w:bCs/>
                <w:lang w:val="en-AU"/>
              </w:rPr>
            </w:pPr>
            <w:r w:rsidRPr="007B448C">
              <w:rPr>
                <w:rStyle w:val="A4"/>
                <w:bCs/>
                <w:lang w:val="en-AU"/>
              </w:rPr>
              <w:t xml:space="preserve">Significant differences in cell directionality were observed between asthmatic and non-asthmatic pAECs. This is the first study to </w:t>
            </w:r>
            <w:r w:rsidR="008F56FF">
              <w:rPr>
                <w:rStyle w:val="A4"/>
                <w:bCs/>
                <w:lang w:val="en-AU"/>
              </w:rPr>
              <w:t xml:space="preserve">map and </w:t>
            </w:r>
            <w:r w:rsidR="00633874">
              <w:rPr>
                <w:rStyle w:val="A4"/>
                <w:bCs/>
                <w:lang w:val="en-AU"/>
              </w:rPr>
              <w:t>establish</w:t>
            </w:r>
            <w:r w:rsidRPr="007B448C">
              <w:rPr>
                <w:rStyle w:val="A4"/>
                <w:bCs/>
                <w:lang w:val="en-AU"/>
              </w:rPr>
              <w:t xml:space="preserve"> migration</w:t>
            </w:r>
            <w:r w:rsidR="00C70040">
              <w:rPr>
                <w:rStyle w:val="A4"/>
                <w:bCs/>
                <w:lang w:val="en-AU"/>
              </w:rPr>
              <w:t xml:space="preserve"> patterns </w:t>
            </w:r>
            <w:r w:rsidRPr="007B448C">
              <w:rPr>
                <w:rStyle w:val="A4"/>
                <w:bCs/>
                <w:lang w:val="en-AU"/>
              </w:rPr>
              <w:t xml:space="preserve">of asthmatic </w:t>
            </w:r>
            <w:r w:rsidR="00633874" w:rsidRPr="007B448C">
              <w:rPr>
                <w:rStyle w:val="A4"/>
                <w:bCs/>
                <w:lang w:val="en-AU"/>
              </w:rPr>
              <w:t>pAECs</w:t>
            </w:r>
            <w:r w:rsidR="00633874">
              <w:rPr>
                <w:rStyle w:val="A4"/>
                <w:bCs/>
                <w:lang w:val="en-AU"/>
              </w:rPr>
              <w:t xml:space="preserve"> </w:t>
            </w:r>
            <w:r w:rsidR="00C13C0A">
              <w:rPr>
                <w:rStyle w:val="A4"/>
                <w:bCs/>
                <w:lang w:val="en-AU"/>
              </w:rPr>
              <w:t>post-</w:t>
            </w:r>
            <w:r w:rsidR="00633874">
              <w:rPr>
                <w:rStyle w:val="A4"/>
                <w:bCs/>
                <w:lang w:val="en-AU"/>
              </w:rPr>
              <w:t xml:space="preserve">wounding and correlates poor migrational response </w:t>
            </w:r>
            <w:r w:rsidRPr="007B448C">
              <w:rPr>
                <w:rStyle w:val="A4"/>
                <w:bCs/>
                <w:lang w:val="en-AU"/>
              </w:rPr>
              <w:t>to dysregulated wound repair.</w:t>
            </w:r>
          </w:p>
          <w:p w14:paraId="2A0FF272" w14:textId="2297430B" w:rsidR="00B023F7" w:rsidRPr="0050053A" w:rsidRDefault="00B023F7" w:rsidP="007B448C">
            <w:pPr>
              <w:pStyle w:val="Pa12"/>
              <w:jc w:val="both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>Grant Support:</w:t>
            </w:r>
          </w:p>
          <w:p w14:paraId="7A1BC2BE" w14:textId="1891DD8D" w:rsidR="00F72B1C" w:rsidRDefault="00C7242F" w:rsidP="007B448C">
            <w:pPr>
              <w:pStyle w:val="Default"/>
              <w:jc w:val="both"/>
              <w:rPr>
                <w:sz w:val="22"/>
                <w:szCs w:val="22"/>
                <w:lang w:val="en-AU" w:eastAsia="en-GB"/>
              </w:rPr>
            </w:pPr>
            <w:r>
              <w:rPr>
                <w:sz w:val="22"/>
                <w:szCs w:val="22"/>
                <w:lang w:val="en-AU" w:eastAsia="en-GB"/>
              </w:rPr>
              <w:t>NHMRC(#1048910), APA</w:t>
            </w:r>
            <w:r w:rsidR="007B448C" w:rsidRPr="007B448C">
              <w:rPr>
                <w:sz w:val="22"/>
                <w:szCs w:val="22"/>
                <w:lang w:val="en-AU" w:eastAsia="en-GB"/>
              </w:rPr>
              <w:t>(UWA), Centre for Cell Therapy &amp; Regenerative Medicine PhD Top-Up Scholarship</w:t>
            </w:r>
          </w:p>
          <w:p w14:paraId="357B6217" w14:textId="77777777" w:rsidR="008F56FF" w:rsidRDefault="008F56FF" w:rsidP="007B448C">
            <w:pPr>
              <w:pStyle w:val="Default"/>
              <w:jc w:val="both"/>
              <w:rPr>
                <w:sz w:val="22"/>
                <w:szCs w:val="22"/>
                <w:lang w:val="en-AU" w:eastAsia="en-GB"/>
              </w:rPr>
            </w:pPr>
          </w:p>
          <w:p w14:paraId="5AEF2A6C" w14:textId="59757149" w:rsidR="007B448C" w:rsidRPr="007B448C" w:rsidRDefault="007B448C" w:rsidP="00072915">
            <w:pPr>
              <w:pStyle w:val="Pa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4"/>
                <w:b/>
                <w:bCs/>
              </w:rPr>
              <w:t>Declaration of interest:</w:t>
            </w:r>
            <w:r>
              <w:rPr>
                <w:rStyle w:val="A4"/>
                <w:bCs/>
              </w:rPr>
              <w:t xml:space="preserve"> No conflicts of interest to declare.</w:t>
            </w:r>
          </w:p>
        </w:tc>
      </w:tr>
      <w:bookmarkEnd w:id="0"/>
    </w:tbl>
    <w:p w14:paraId="6857D93F" w14:textId="78A1C054" w:rsidR="00B023F7" w:rsidRDefault="00B023F7">
      <w:pPr>
        <w:spacing w:after="200" w:line="276" w:lineRule="auto"/>
        <w:rPr>
          <w:rFonts w:ascii="Arial" w:hAnsi="Arial" w:cs="Arial"/>
          <w:b/>
          <w:caps/>
          <w:szCs w:val="22"/>
          <w:lang w:val="en-AU" w:eastAsia="en-GB"/>
        </w:rPr>
      </w:pPr>
    </w:p>
    <w:sectPr w:rsidR="00B02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13"/>
    <w:rsid w:val="00015B7A"/>
    <w:rsid w:val="0004641F"/>
    <w:rsid w:val="0006413E"/>
    <w:rsid w:val="00072915"/>
    <w:rsid w:val="000746D4"/>
    <w:rsid w:val="000772F8"/>
    <w:rsid w:val="00173946"/>
    <w:rsid w:val="001F189E"/>
    <w:rsid w:val="0021599C"/>
    <w:rsid w:val="00225969"/>
    <w:rsid w:val="00294714"/>
    <w:rsid w:val="002D72FD"/>
    <w:rsid w:val="002E004B"/>
    <w:rsid w:val="002F08A6"/>
    <w:rsid w:val="00312035"/>
    <w:rsid w:val="00323005"/>
    <w:rsid w:val="003957D9"/>
    <w:rsid w:val="00413340"/>
    <w:rsid w:val="00413B94"/>
    <w:rsid w:val="00420C09"/>
    <w:rsid w:val="00420DE0"/>
    <w:rsid w:val="004454BA"/>
    <w:rsid w:val="004A05F8"/>
    <w:rsid w:val="004D6DCA"/>
    <w:rsid w:val="00560925"/>
    <w:rsid w:val="005A1B00"/>
    <w:rsid w:val="005A4D3D"/>
    <w:rsid w:val="005B06A6"/>
    <w:rsid w:val="0061324F"/>
    <w:rsid w:val="00633874"/>
    <w:rsid w:val="006767A1"/>
    <w:rsid w:val="00687587"/>
    <w:rsid w:val="006B3795"/>
    <w:rsid w:val="006B62F4"/>
    <w:rsid w:val="006D4713"/>
    <w:rsid w:val="00756441"/>
    <w:rsid w:val="00795B40"/>
    <w:rsid w:val="007B448C"/>
    <w:rsid w:val="008B6C0B"/>
    <w:rsid w:val="008F56FF"/>
    <w:rsid w:val="009C00FA"/>
    <w:rsid w:val="009F0D29"/>
    <w:rsid w:val="00A042C3"/>
    <w:rsid w:val="00AD5042"/>
    <w:rsid w:val="00AE33F9"/>
    <w:rsid w:val="00AE41E8"/>
    <w:rsid w:val="00B023F7"/>
    <w:rsid w:val="00B25BE0"/>
    <w:rsid w:val="00B537AB"/>
    <w:rsid w:val="00C13C0A"/>
    <w:rsid w:val="00C527D6"/>
    <w:rsid w:val="00C70040"/>
    <w:rsid w:val="00C7242F"/>
    <w:rsid w:val="00C91C8C"/>
    <w:rsid w:val="00C920F9"/>
    <w:rsid w:val="00D3316B"/>
    <w:rsid w:val="00D571FB"/>
    <w:rsid w:val="00D63174"/>
    <w:rsid w:val="00DC76BB"/>
    <w:rsid w:val="00EA7F12"/>
    <w:rsid w:val="00EE3EA8"/>
    <w:rsid w:val="00EF0AA0"/>
    <w:rsid w:val="00F11FFF"/>
    <w:rsid w:val="00F67B0C"/>
    <w:rsid w:val="00F725E7"/>
    <w:rsid w:val="00F72B1C"/>
    <w:rsid w:val="00F81109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EDFD4"/>
  <w15:docId w15:val="{6CBC1272-B8FD-4628-81FE-1977AEE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  <w:style w:type="character" w:customStyle="1" w:styleId="boldtext1">
    <w:name w:val="boldtext1"/>
    <w:basedOn w:val="DefaultParagraphFont"/>
    <w:rsid w:val="00F81109"/>
  </w:style>
  <w:style w:type="character" w:styleId="CommentReference">
    <w:name w:val="annotation reference"/>
    <w:basedOn w:val="DefaultParagraphFont"/>
    <w:uiPriority w:val="99"/>
    <w:semiHidden/>
    <w:unhideWhenUsed/>
    <w:rsid w:val="0017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9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94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Iosifidis</dc:creator>
  <cp:lastModifiedBy>Anthony Kicic</cp:lastModifiedBy>
  <cp:revision>2</cp:revision>
  <dcterms:created xsi:type="dcterms:W3CDTF">2019-11-10T03:33:00Z</dcterms:created>
  <dcterms:modified xsi:type="dcterms:W3CDTF">2019-11-10T03:33:00Z</dcterms:modified>
</cp:coreProperties>
</file>